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A9AA" w14:textId="77777777" w:rsidR="00362C9F" w:rsidRPr="00CE219D" w:rsidRDefault="00362C9F" w:rsidP="00CE219D">
      <w:pPr>
        <w:tabs>
          <w:tab w:val="center" w:pos="4500"/>
        </w:tabs>
        <w:spacing w:after="0" w:line="240" w:lineRule="auto"/>
        <w:jc w:val="center"/>
        <w:rPr>
          <w:rFonts w:ascii="Times New Roman" w:eastAsia="Times New Roman" w:hAnsi="Times New Roman" w:cs="Times New Roman"/>
          <w:caps/>
          <w:position w:val="2"/>
          <w:sz w:val="24"/>
          <w:szCs w:val="24"/>
        </w:rPr>
      </w:pPr>
      <w:bookmarkStart w:id="0" w:name="_GoBack"/>
      <w:bookmarkEnd w:id="0"/>
      <w:r w:rsidRPr="00CE219D">
        <w:rPr>
          <w:rFonts w:ascii="Times New Roman" w:eastAsia="Times New Roman" w:hAnsi="Times New Roman" w:cs="Times New Roman"/>
          <w:caps/>
          <w:position w:val="2"/>
          <w:sz w:val="24"/>
          <w:szCs w:val="24"/>
        </w:rPr>
        <w:t>UNITED STATES DISTRICT COURT</w:t>
      </w:r>
    </w:p>
    <w:p w14:paraId="1F20A3FE" w14:textId="77777777" w:rsidR="00362C9F" w:rsidRPr="00CE219D" w:rsidRDefault="00941020" w:rsidP="00CE219D">
      <w:pPr>
        <w:spacing w:after="0" w:line="240" w:lineRule="auto"/>
        <w:jc w:val="center"/>
        <w:rPr>
          <w:rFonts w:ascii="Times New Roman" w:eastAsia="Times New Roman" w:hAnsi="Times New Roman" w:cs="Times New Roman"/>
          <w:caps/>
          <w:position w:val="2"/>
          <w:sz w:val="24"/>
          <w:szCs w:val="24"/>
        </w:rPr>
      </w:pPr>
      <w:r w:rsidRPr="00CE219D">
        <w:rPr>
          <w:rFonts w:ascii="Times New Roman" w:eastAsia="Times New Roman" w:hAnsi="Times New Roman" w:cs="Times New Roman"/>
          <w:caps/>
          <w:position w:val="2"/>
          <w:sz w:val="24"/>
          <w:szCs w:val="24"/>
        </w:rPr>
        <w:t>District of south carolina</w:t>
      </w:r>
    </w:p>
    <w:p w14:paraId="42401AD2" w14:textId="77777777" w:rsidR="00EE41EB" w:rsidRPr="00CE219D" w:rsidRDefault="00EE41EB" w:rsidP="00CE219D">
      <w:pPr>
        <w:spacing w:after="0" w:line="240" w:lineRule="auto"/>
        <w:jc w:val="center"/>
        <w:rPr>
          <w:rFonts w:ascii="Times New Roman" w:eastAsia="Times New Roman" w:hAnsi="Times New Roman" w:cs="Times New Roman"/>
          <w:caps/>
          <w:position w:val="2"/>
          <w:sz w:val="24"/>
          <w:szCs w:val="24"/>
        </w:rPr>
      </w:pPr>
      <w:r w:rsidRPr="00CE219D">
        <w:rPr>
          <w:rFonts w:ascii="Times New Roman" w:eastAsia="Times New Roman" w:hAnsi="Times New Roman" w:cs="Times New Roman"/>
          <w:caps/>
          <w:position w:val="2"/>
          <w:sz w:val="24"/>
          <w:szCs w:val="24"/>
        </w:rPr>
        <w:t>(Greenville division)</w:t>
      </w:r>
    </w:p>
    <w:p w14:paraId="3051B212" w14:textId="77777777" w:rsidR="00362C9F" w:rsidRPr="00CE219D" w:rsidRDefault="00362C9F" w:rsidP="007753CF">
      <w:pPr>
        <w:spacing w:after="0" w:line="455" w:lineRule="exact"/>
        <w:ind w:firstLine="720"/>
        <w:rPr>
          <w:rFonts w:ascii="Times New Roman" w:eastAsia="Times New Roman" w:hAnsi="Times New Roman" w:cs="Times New Roman"/>
          <w:sz w:val="24"/>
          <w:szCs w:val="24"/>
        </w:rPr>
      </w:pPr>
    </w:p>
    <w:tbl>
      <w:tblPr>
        <w:tblW w:w="10267" w:type="dxa"/>
        <w:tblInd w:w="-7" w:type="dxa"/>
        <w:tblLayout w:type="fixed"/>
        <w:tblCellMar>
          <w:left w:w="0" w:type="dxa"/>
          <w:right w:w="0" w:type="dxa"/>
        </w:tblCellMar>
        <w:tblLook w:val="0000" w:firstRow="0" w:lastRow="0" w:firstColumn="0" w:lastColumn="0" w:noHBand="0" w:noVBand="0"/>
      </w:tblPr>
      <w:tblGrid>
        <w:gridCol w:w="4597"/>
        <w:gridCol w:w="5670"/>
      </w:tblGrid>
      <w:tr w:rsidR="00362C9F" w:rsidRPr="00CE219D" w14:paraId="66377129" w14:textId="77777777" w:rsidTr="00EE4B18">
        <w:trPr>
          <w:trHeight w:val="2340"/>
        </w:trPr>
        <w:tc>
          <w:tcPr>
            <w:tcW w:w="4597" w:type="dxa"/>
            <w:tcBorders>
              <w:right w:val="single" w:sz="4" w:space="0" w:color="auto"/>
            </w:tcBorders>
            <w:tcMar>
              <w:right w:w="144" w:type="dxa"/>
            </w:tcMar>
          </w:tcPr>
          <w:p w14:paraId="492936D4" w14:textId="14BCFC41" w:rsidR="00362C9F" w:rsidRPr="00CE219D" w:rsidRDefault="00362C9F" w:rsidP="003C5DE6">
            <w:pPr>
              <w:spacing w:after="0" w:line="240" w:lineRule="auto"/>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Bureau of Consumer Financial Protection</w:t>
            </w:r>
            <w:r w:rsidR="00A0603C" w:rsidRPr="00CE219D">
              <w:rPr>
                <w:rFonts w:ascii="Times New Roman" w:eastAsia="Times New Roman" w:hAnsi="Times New Roman" w:cs="Times New Roman"/>
                <w:sz w:val="24"/>
                <w:szCs w:val="24"/>
              </w:rPr>
              <w:t>;</w:t>
            </w:r>
            <w:r w:rsidR="00436C49" w:rsidRPr="00CE219D">
              <w:rPr>
                <w:rFonts w:ascii="Times New Roman" w:eastAsia="Times New Roman" w:hAnsi="Times New Roman" w:cs="Times New Roman"/>
                <w:sz w:val="24"/>
                <w:szCs w:val="24"/>
              </w:rPr>
              <w:t xml:space="preserve"> South Carolina Department of Consumer Affairs</w:t>
            </w:r>
            <w:r w:rsidR="00A0603C" w:rsidRPr="00CE219D">
              <w:rPr>
                <w:rFonts w:ascii="Times New Roman" w:eastAsia="Times New Roman" w:hAnsi="Times New Roman" w:cs="Times New Roman"/>
                <w:sz w:val="24"/>
                <w:szCs w:val="24"/>
              </w:rPr>
              <w:t>;</w:t>
            </w:r>
            <w:r w:rsidR="00675728" w:rsidRPr="00CE219D">
              <w:rPr>
                <w:rFonts w:ascii="Times New Roman" w:eastAsia="Times New Roman" w:hAnsi="Times New Roman" w:cs="Times New Roman"/>
                <w:sz w:val="24"/>
                <w:szCs w:val="24"/>
              </w:rPr>
              <w:t xml:space="preserve"> and the State of Arkansas </w:t>
            </w:r>
            <w:r w:rsidR="00675728" w:rsidRPr="00CE219D">
              <w:rPr>
                <w:rFonts w:ascii="Times New Roman" w:eastAsia="Times New Roman" w:hAnsi="Times New Roman" w:cs="Times New Roman"/>
                <w:i/>
                <w:sz w:val="24"/>
                <w:szCs w:val="24"/>
              </w:rPr>
              <w:t xml:space="preserve">ex rel. </w:t>
            </w:r>
            <w:r w:rsidR="00675728" w:rsidRPr="00CE219D">
              <w:rPr>
                <w:rFonts w:ascii="Times New Roman" w:eastAsia="Times New Roman" w:hAnsi="Times New Roman" w:cs="Times New Roman"/>
                <w:sz w:val="24"/>
                <w:szCs w:val="24"/>
              </w:rPr>
              <w:t>Leslie Rutledge, Attorney General</w:t>
            </w:r>
            <w:r w:rsidR="00837FD0">
              <w:rPr>
                <w:rFonts w:ascii="Times New Roman" w:eastAsia="Times New Roman" w:hAnsi="Times New Roman" w:cs="Times New Roman"/>
                <w:sz w:val="24"/>
                <w:szCs w:val="24"/>
              </w:rPr>
              <w:t>,</w:t>
            </w:r>
          </w:p>
          <w:p w14:paraId="4D293822" w14:textId="77777777" w:rsidR="00EE4B18" w:rsidRPr="00CE219D" w:rsidRDefault="00EE4B18" w:rsidP="007753CF">
            <w:pPr>
              <w:spacing w:after="0" w:line="240" w:lineRule="auto"/>
              <w:ind w:firstLine="720"/>
              <w:rPr>
                <w:rFonts w:ascii="Times New Roman" w:eastAsia="Times New Roman" w:hAnsi="Times New Roman" w:cs="Times New Roman"/>
                <w:sz w:val="24"/>
                <w:szCs w:val="24"/>
              </w:rPr>
            </w:pPr>
          </w:p>
          <w:p w14:paraId="415B5761" w14:textId="77777777" w:rsidR="00362C9F" w:rsidRPr="00CE219D" w:rsidRDefault="00362C9F" w:rsidP="007753CF">
            <w:pPr>
              <w:spacing w:after="0" w:line="480" w:lineRule="auto"/>
              <w:ind w:firstLine="720"/>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Plaintiff</w:t>
            </w:r>
            <w:bookmarkStart w:id="1" w:name="CaptionPlaintiff"/>
            <w:bookmarkEnd w:id="1"/>
            <w:r w:rsidR="00616686" w:rsidRPr="00CE219D">
              <w:rPr>
                <w:rFonts w:ascii="Times New Roman" w:eastAsia="Times New Roman" w:hAnsi="Times New Roman" w:cs="Times New Roman"/>
                <w:sz w:val="24"/>
                <w:szCs w:val="24"/>
              </w:rPr>
              <w:t>s</w:t>
            </w:r>
            <w:r w:rsidRPr="00CE219D">
              <w:rPr>
                <w:rFonts w:ascii="Times New Roman" w:eastAsia="Times New Roman" w:hAnsi="Times New Roman" w:cs="Times New Roman"/>
                <w:sz w:val="24"/>
                <w:szCs w:val="24"/>
              </w:rPr>
              <w:t>,</w:t>
            </w:r>
          </w:p>
          <w:p w14:paraId="6833F4B6" w14:textId="77777777" w:rsidR="00362C9F" w:rsidRPr="00CE219D" w:rsidRDefault="00362C9F" w:rsidP="007753CF">
            <w:pPr>
              <w:spacing w:after="0" w:line="480" w:lineRule="auto"/>
              <w:ind w:firstLine="720"/>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v.</w:t>
            </w:r>
          </w:p>
          <w:p w14:paraId="2C3FC71B" w14:textId="77777777" w:rsidR="00362C9F" w:rsidRPr="00CE219D" w:rsidRDefault="00DF7334" w:rsidP="003C5DE6">
            <w:pPr>
              <w:spacing w:after="0" w:line="240" w:lineRule="auto"/>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Candy Kern-Fuller, Howard Sutter III, and Upstate Law Group</w:t>
            </w:r>
            <w:r w:rsidR="00EE41EB" w:rsidRPr="00CE219D">
              <w:rPr>
                <w:rFonts w:ascii="Times New Roman" w:eastAsia="Times New Roman" w:hAnsi="Times New Roman" w:cs="Times New Roman"/>
                <w:sz w:val="24"/>
                <w:szCs w:val="24"/>
              </w:rPr>
              <w:t xml:space="preserve"> LLC</w:t>
            </w:r>
            <w:r w:rsidR="009C7938" w:rsidRPr="00CE219D">
              <w:rPr>
                <w:rFonts w:ascii="Times New Roman" w:eastAsia="Times New Roman" w:hAnsi="Times New Roman" w:cs="Times New Roman"/>
                <w:sz w:val="24"/>
                <w:szCs w:val="24"/>
              </w:rPr>
              <w:t>,</w:t>
            </w:r>
          </w:p>
          <w:p w14:paraId="25C61A3F" w14:textId="77777777" w:rsidR="00A33620" w:rsidRPr="00CE219D" w:rsidRDefault="00A33620" w:rsidP="007753CF">
            <w:pPr>
              <w:spacing w:after="0" w:line="240" w:lineRule="auto"/>
              <w:ind w:firstLine="720"/>
              <w:rPr>
                <w:rFonts w:ascii="Times New Roman" w:eastAsia="Times New Roman" w:hAnsi="Times New Roman" w:cs="Times New Roman"/>
                <w:sz w:val="24"/>
                <w:szCs w:val="24"/>
              </w:rPr>
            </w:pPr>
          </w:p>
          <w:p w14:paraId="3BE9A8A5" w14:textId="77777777" w:rsidR="00362C9F" w:rsidRPr="00CE219D" w:rsidRDefault="00362C9F" w:rsidP="007753CF">
            <w:pPr>
              <w:spacing w:after="0" w:line="240" w:lineRule="auto"/>
              <w:ind w:firstLine="720"/>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Defendant</w:t>
            </w:r>
            <w:r w:rsidR="00E717E4" w:rsidRPr="00CE219D">
              <w:rPr>
                <w:rFonts w:ascii="Times New Roman" w:eastAsia="Times New Roman" w:hAnsi="Times New Roman" w:cs="Times New Roman"/>
                <w:sz w:val="24"/>
                <w:szCs w:val="24"/>
              </w:rPr>
              <w:t>s</w:t>
            </w:r>
            <w:r w:rsidRPr="00CE219D">
              <w:rPr>
                <w:rFonts w:ascii="Times New Roman" w:eastAsia="Times New Roman" w:hAnsi="Times New Roman" w:cs="Times New Roman"/>
                <w:sz w:val="24"/>
                <w:szCs w:val="24"/>
              </w:rPr>
              <w:t>.</w:t>
            </w:r>
          </w:p>
        </w:tc>
        <w:tc>
          <w:tcPr>
            <w:tcW w:w="5670" w:type="dxa"/>
            <w:tcBorders>
              <w:left w:val="single" w:sz="4" w:space="0" w:color="auto"/>
            </w:tcBorders>
            <w:tcMar>
              <w:left w:w="144" w:type="dxa"/>
            </w:tcMar>
          </w:tcPr>
          <w:p w14:paraId="0DF79FE8" w14:textId="5B76D1D6" w:rsidR="00362C9F" w:rsidRPr="00CE219D" w:rsidRDefault="00362C9F" w:rsidP="007753CF">
            <w:pPr>
              <w:spacing w:after="0" w:line="280" w:lineRule="exact"/>
              <w:ind w:firstLine="720"/>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Case </w:t>
            </w:r>
            <w:r w:rsidR="00EE41EB" w:rsidRPr="00CE219D">
              <w:rPr>
                <w:rFonts w:ascii="Times New Roman" w:eastAsia="Times New Roman" w:hAnsi="Times New Roman" w:cs="Times New Roman"/>
                <w:sz w:val="24"/>
                <w:szCs w:val="24"/>
              </w:rPr>
              <w:t>No.</w:t>
            </w:r>
            <w:r w:rsidR="0044753F">
              <w:rPr>
                <w:rFonts w:ascii="Times New Roman" w:eastAsia="Times New Roman" w:hAnsi="Times New Roman" w:cs="Times New Roman"/>
                <w:sz w:val="24"/>
                <w:szCs w:val="24"/>
              </w:rPr>
              <w:t xml:space="preserve"> ____________________</w:t>
            </w:r>
          </w:p>
          <w:p w14:paraId="6FBE3236" w14:textId="77777777" w:rsidR="00362C9F" w:rsidRPr="00CE219D" w:rsidRDefault="00362C9F" w:rsidP="007753CF">
            <w:pPr>
              <w:spacing w:after="0" w:line="280" w:lineRule="exact"/>
              <w:ind w:firstLine="720"/>
              <w:rPr>
                <w:rFonts w:ascii="Times New Roman" w:eastAsia="Times New Roman" w:hAnsi="Times New Roman" w:cs="Times New Roman"/>
                <w:b/>
                <w:sz w:val="24"/>
                <w:szCs w:val="24"/>
              </w:rPr>
            </w:pPr>
          </w:p>
          <w:p w14:paraId="6E9944E4" w14:textId="77777777" w:rsidR="00362C9F" w:rsidRPr="00CE219D" w:rsidRDefault="00362C9F" w:rsidP="007753CF">
            <w:pPr>
              <w:spacing w:after="0" w:line="455" w:lineRule="exact"/>
              <w:ind w:firstLine="720"/>
              <w:rPr>
                <w:rFonts w:ascii="Times New Roman" w:eastAsia="Times New Roman" w:hAnsi="Times New Roman" w:cs="Times New Roman"/>
                <w:b/>
                <w:sz w:val="24"/>
                <w:szCs w:val="24"/>
              </w:rPr>
            </w:pPr>
          </w:p>
          <w:p w14:paraId="08F4C1AA" w14:textId="77777777" w:rsidR="00362C9F" w:rsidRPr="00CE219D" w:rsidRDefault="00362C9F" w:rsidP="007753CF">
            <w:pPr>
              <w:spacing w:after="0" w:line="455" w:lineRule="exact"/>
              <w:ind w:firstLine="720"/>
              <w:rPr>
                <w:rFonts w:ascii="Times New Roman" w:eastAsia="Times New Roman" w:hAnsi="Times New Roman" w:cs="Times New Roman"/>
                <w:b/>
                <w:sz w:val="24"/>
                <w:szCs w:val="24"/>
              </w:rPr>
            </w:pPr>
          </w:p>
          <w:p w14:paraId="30B63A5A" w14:textId="77777777" w:rsidR="00362C9F" w:rsidRPr="00CE219D" w:rsidRDefault="00362C9F" w:rsidP="007753CF">
            <w:pPr>
              <w:spacing w:after="0" w:line="455" w:lineRule="exact"/>
              <w:ind w:firstLine="720"/>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COMPLAINT</w:t>
            </w:r>
          </w:p>
          <w:p w14:paraId="59E94CE2" w14:textId="77777777" w:rsidR="00362C9F" w:rsidRPr="00CE219D" w:rsidRDefault="00362C9F" w:rsidP="007753CF">
            <w:pPr>
              <w:spacing w:after="0" w:line="455" w:lineRule="exact"/>
              <w:ind w:firstLine="720"/>
              <w:rPr>
                <w:rFonts w:ascii="Times New Roman" w:eastAsia="Times New Roman" w:hAnsi="Times New Roman" w:cs="Times New Roman"/>
                <w:sz w:val="24"/>
                <w:szCs w:val="24"/>
              </w:rPr>
            </w:pPr>
          </w:p>
        </w:tc>
        <w:bookmarkStart w:id="2" w:name="EndOfCaptionTable"/>
        <w:bookmarkEnd w:id="2"/>
      </w:tr>
      <w:tr w:rsidR="00362C9F" w:rsidRPr="00CE219D" w14:paraId="10BB5677" w14:textId="77777777" w:rsidTr="00EE4B18">
        <w:trPr>
          <w:trHeight w:val="162"/>
        </w:trPr>
        <w:tc>
          <w:tcPr>
            <w:tcW w:w="4597" w:type="dxa"/>
            <w:tcBorders>
              <w:bottom w:val="single" w:sz="4" w:space="0" w:color="auto"/>
              <w:right w:val="single" w:sz="4" w:space="0" w:color="auto"/>
            </w:tcBorders>
            <w:tcMar>
              <w:right w:w="144" w:type="dxa"/>
            </w:tcMar>
          </w:tcPr>
          <w:p w14:paraId="77FD23C8" w14:textId="77777777" w:rsidR="00362C9F" w:rsidRPr="00CE219D" w:rsidRDefault="00362C9F" w:rsidP="007753CF">
            <w:pPr>
              <w:spacing w:after="0" w:line="240" w:lineRule="auto"/>
              <w:ind w:firstLine="720"/>
              <w:rPr>
                <w:rFonts w:ascii="Times New Roman" w:eastAsia="Times New Roman" w:hAnsi="Times New Roman" w:cs="Times New Roman"/>
                <w:sz w:val="24"/>
                <w:szCs w:val="24"/>
              </w:rPr>
            </w:pPr>
          </w:p>
        </w:tc>
        <w:tc>
          <w:tcPr>
            <w:tcW w:w="5670" w:type="dxa"/>
            <w:tcBorders>
              <w:left w:val="single" w:sz="4" w:space="0" w:color="auto"/>
            </w:tcBorders>
            <w:tcMar>
              <w:left w:w="144" w:type="dxa"/>
            </w:tcMar>
          </w:tcPr>
          <w:p w14:paraId="4552B375" w14:textId="77777777" w:rsidR="00362C9F" w:rsidRPr="00CE219D" w:rsidRDefault="00362C9F" w:rsidP="007753CF">
            <w:pPr>
              <w:spacing w:after="0" w:line="280" w:lineRule="exact"/>
              <w:ind w:firstLine="720"/>
              <w:rPr>
                <w:rFonts w:ascii="Times New Roman" w:eastAsia="Times New Roman" w:hAnsi="Times New Roman" w:cs="Times New Roman"/>
                <w:sz w:val="24"/>
                <w:szCs w:val="24"/>
              </w:rPr>
            </w:pPr>
          </w:p>
        </w:tc>
      </w:tr>
    </w:tbl>
    <w:p w14:paraId="7DF0C73A" w14:textId="77777777" w:rsidR="00513C7F" w:rsidRPr="00CE219D" w:rsidRDefault="00513C7F" w:rsidP="007753CF">
      <w:pPr>
        <w:ind w:firstLine="720"/>
        <w:rPr>
          <w:rFonts w:ascii="Times New Roman" w:hAnsi="Times New Roman" w:cs="Times New Roman"/>
          <w:sz w:val="24"/>
          <w:szCs w:val="24"/>
        </w:rPr>
      </w:pPr>
    </w:p>
    <w:p w14:paraId="1917FE86" w14:textId="30F0D304" w:rsidR="00362C9F" w:rsidRPr="00CE219D" w:rsidRDefault="00362C9F" w:rsidP="007753CF">
      <w:pPr>
        <w:spacing w:after="0" w:line="480" w:lineRule="auto"/>
        <w:ind w:firstLine="720"/>
        <w:contextualSpacing/>
        <w:rPr>
          <w:rFonts w:ascii="Times New Roman" w:eastAsia="Calibri" w:hAnsi="Times New Roman" w:cs="Times New Roman"/>
          <w:sz w:val="24"/>
          <w:szCs w:val="24"/>
        </w:rPr>
      </w:pPr>
      <w:r w:rsidRPr="00CE219D">
        <w:rPr>
          <w:rFonts w:ascii="Times New Roman" w:eastAsia="Times New Roman" w:hAnsi="Times New Roman" w:cs="Times New Roman"/>
          <w:sz w:val="24"/>
          <w:szCs w:val="24"/>
        </w:rPr>
        <w:t>The Bureau of Consume</w:t>
      </w:r>
      <w:r w:rsidR="00675728" w:rsidRPr="00CE219D">
        <w:rPr>
          <w:rFonts w:ascii="Times New Roman" w:eastAsia="Times New Roman" w:hAnsi="Times New Roman" w:cs="Times New Roman"/>
          <w:sz w:val="24"/>
          <w:szCs w:val="24"/>
        </w:rPr>
        <w:t xml:space="preserve">r Financial Protection (Bureau), </w:t>
      </w:r>
      <w:r w:rsidR="00C13C1C" w:rsidRPr="00CE219D">
        <w:rPr>
          <w:rFonts w:ascii="Times New Roman" w:eastAsia="Times New Roman" w:hAnsi="Times New Roman" w:cs="Times New Roman"/>
          <w:sz w:val="24"/>
          <w:szCs w:val="24"/>
        </w:rPr>
        <w:t>the South Carolina Department of Consumer Affairs (</w:t>
      </w:r>
      <w:r w:rsidR="009832D0">
        <w:rPr>
          <w:rFonts w:ascii="Times New Roman" w:eastAsia="Times New Roman" w:hAnsi="Times New Roman" w:cs="Times New Roman"/>
          <w:sz w:val="24"/>
          <w:szCs w:val="24"/>
        </w:rPr>
        <w:t>Department</w:t>
      </w:r>
      <w:r w:rsidR="00C13C1C" w:rsidRPr="00CE219D">
        <w:rPr>
          <w:rFonts w:ascii="Times New Roman" w:eastAsia="Times New Roman" w:hAnsi="Times New Roman" w:cs="Times New Roman"/>
          <w:sz w:val="24"/>
          <w:szCs w:val="24"/>
        </w:rPr>
        <w:t>)</w:t>
      </w:r>
      <w:r w:rsidR="00675728" w:rsidRPr="00CE219D">
        <w:rPr>
          <w:rFonts w:ascii="Times New Roman" w:eastAsia="Times New Roman" w:hAnsi="Times New Roman" w:cs="Times New Roman"/>
          <w:sz w:val="24"/>
          <w:szCs w:val="24"/>
        </w:rPr>
        <w:t xml:space="preserve">, and the State of Arkansas </w:t>
      </w:r>
      <w:r w:rsidR="00675728" w:rsidRPr="00CE219D">
        <w:rPr>
          <w:rFonts w:ascii="Times New Roman" w:eastAsia="Times New Roman" w:hAnsi="Times New Roman" w:cs="Times New Roman"/>
          <w:i/>
          <w:sz w:val="24"/>
          <w:szCs w:val="24"/>
        </w:rPr>
        <w:t xml:space="preserve">ex rel. </w:t>
      </w:r>
      <w:r w:rsidR="00675728" w:rsidRPr="00CE219D">
        <w:rPr>
          <w:rFonts w:ascii="Times New Roman" w:eastAsia="Times New Roman" w:hAnsi="Times New Roman" w:cs="Times New Roman"/>
          <w:sz w:val="24"/>
          <w:szCs w:val="24"/>
        </w:rPr>
        <w:t xml:space="preserve">Leslie Rutledge, Attorney General (Arkansas), </w:t>
      </w:r>
      <w:r w:rsidRPr="00CE219D">
        <w:rPr>
          <w:rFonts w:ascii="Times New Roman" w:eastAsia="Times New Roman" w:hAnsi="Times New Roman" w:cs="Times New Roman"/>
          <w:sz w:val="24"/>
          <w:szCs w:val="24"/>
        </w:rPr>
        <w:t xml:space="preserve">bring this action against </w:t>
      </w:r>
      <w:r w:rsidR="00DF7334" w:rsidRPr="00CE219D">
        <w:rPr>
          <w:rFonts w:ascii="Times New Roman" w:eastAsia="Times New Roman" w:hAnsi="Times New Roman" w:cs="Times New Roman"/>
          <w:sz w:val="24"/>
          <w:szCs w:val="24"/>
        </w:rPr>
        <w:t>Candy Kern-Fuller, Howard Sutter III, and Upstate Law Group</w:t>
      </w:r>
      <w:r w:rsidR="00EE41EB" w:rsidRPr="00CE219D">
        <w:rPr>
          <w:rFonts w:ascii="Times New Roman" w:eastAsia="Times New Roman" w:hAnsi="Times New Roman" w:cs="Times New Roman"/>
          <w:sz w:val="24"/>
          <w:szCs w:val="24"/>
        </w:rPr>
        <w:t xml:space="preserve"> LLC</w:t>
      </w:r>
      <w:r w:rsidR="00941020" w:rsidRPr="00CE219D">
        <w:rPr>
          <w:rFonts w:ascii="Times New Roman" w:eastAsia="Times New Roman" w:hAnsi="Times New Roman" w:cs="Times New Roman"/>
          <w:sz w:val="24"/>
          <w:szCs w:val="24"/>
        </w:rPr>
        <w:t xml:space="preserve"> </w:t>
      </w:r>
      <w:r w:rsidR="0060146E" w:rsidRPr="00CE219D">
        <w:rPr>
          <w:rFonts w:ascii="Times New Roman" w:eastAsia="Times New Roman" w:hAnsi="Times New Roman" w:cs="Times New Roman"/>
          <w:sz w:val="24"/>
          <w:szCs w:val="24"/>
        </w:rPr>
        <w:t>(Defendants)</w:t>
      </w:r>
      <w:r w:rsidRPr="00CE219D">
        <w:rPr>
          <w:rFonts w:ascii="Times New Roman" w:eastAsia="Times New Roman" w:hAnsi="Times New Roman" w:cs="Times New Roman"/>
          <w:sz w:val="24"/>
          <w:szCs w:val="24"/>
        </w:rPr>
        <w:t xml:space="preserve"> under the Consumer Financial Protection Act of 2010 (CFPA), 12 U.S.C. §§ 5531, 5536(a), 5564, 5565,</w:t>
      </w:r>
      <w:r w:rsidR="00692153" w:rsidRPr="00CE219D">
        <w:rPr>
          <w:rFonts w:ascii="Times New Roman" w:eastAsia="Times New Roman" w:hAnsi="Times New Roman" w:cs="Times New Roman"/>
          <w:sz w:val="24"/>
          <w:szCs w:val="24"/>
        </w:rPr>
        <w:t xml:space="preserve"> and</w:t>
      </w:r>
      <w:r w:rsidRPr="00CE219D">
        <w:rPr>
          <w:rFonts w:ascii="Times New Roman" w:eastAsia="Times New Roman" w:hAnsi="Times New Roman" w:cs="Times New Roman"/>
          <w:sz w:val="24"/>
          <w:szCs w:val="24"/>
        </w:rPr>
        <w:t xml:space="preserve"> </w:t>
      </w:r>
      <w:r w:rsidR="001F1F96" w:rsidRPr="00CE219D">
        <w:rPr>
          <w:rFonts w:ascii="Times New Roman" w:eastAsia="Times New Roman" w:hAnsi="Times New Roman" w:cs="Times New Roman"/>
          <w:sz w:val="24"/>
          <w:szCs w:val="24"/>
        </w:rPr>
        <w:t xml:space="preserve">the South Carolina Consumer Protection Code (SCCPC), </w:t>
      </w:r>
      <w:r w:rsidRPr="00CE219D">
        <w:rPr>
          <w:rFonts w:ascii="Times New Roman" w:eastAsia="Times New Roman" w:hAnsi="Times New Roman" w:cs="Times New Roman"/>
          <w:sz w:val="24"/>
          <w:szCs w:val="24"/>
        </w:rPr>
        <w:t xml:space="preserve">and allege as follows.  </w:t>
      </w:r>
    </w:p>
    <w:p w14:paraId="488C174C" w14:textId="77777777" w:rsidR="00B0536D" w:rsidRPr="00CE219D" w:rsidRDefault="00B0536D" w:rsidP="00A94A3B">
      <w:pPr>
        <w:spacing w:after="0" w:line="240" w:lineRule="auto"/>
        <w:ind w:firstLine="720"/>
        <w:jc w:val="center"/>
        <w:rPr>
          <w:rFonts w:ascii="Times New Roman" w:eastAsia="Times New Roman" w:hAnsi="Times New Roman" w:cs="Times New Roman"/>
          <w:b/>
          <w:sz w:val="24"/>
          <w:szCs w:val="24"/>
        </w:rPr>
      </w:pPr>
    </w:p>
    <w:p w14:paraId="4166966D" w14:textId="77777777" w:rsidR="00362C9F" w:rsidRPr="00CE219D" w:rsidRDefault="00362C9F" w:rsidP="001F1F96">
      <w:pPr>
        <w:keepNext/>
        <w:spacing w:after="0" w:line="480" w:lineRule="auto"/>
        <w:jc w:val="center"/>
        <w:rPr>
          <w:rFonts w:ascii="Times New Roman" w:eastAsia="Times New Roman" w:hAnsi="Times New Roman" w:cs="Times New Roman"/>
          <w:sz w:val="24"/>
          <w:szCs w:val="24"/>
        </w:rPr>
      </w:pPr>
      <w:r w:rsidRPr="00CE219D">
        <w:rPr>
          <w:rFonts w:ascii="Times New Roman" w:eastAsia="Times New Roman" w:hAnsi="Times New Roman" w:cs="Times New Roman"/>
          <w:b/>
          <w:sz w:val="24"/>
          <w:szCs w:val="24"/>
        </w:rPr>
        <w:t>Jurisdiction and Venue</w:t>
      </w:r>
    </w:p>
    <w:p w14:paraId="17A5A8F2" w14:textId="77777777" w:rsidR="00362C9F" w:rsidRPr="00CE219D" w:rsidRDefault="00362C9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This Court has subject-matter jurisdiction over this action because it is brought under “Federal consumer financial law,” 12 U.S.C. §</w:t>
      </w:r>
      <w:r w:rsidR="00645FAC" w:rsidRPr="00CE219D">
        <w:rPr>
          <w:rFonts w:ascii="Times New Roman" w:eastAsia="Times New Roman" w:hAnsi="Times New Roman" w:cs="Times New Roman"/>
          <w:sz w:val="24"/>
          <w:szCs w:val="24"/>
        </w:rPr>
        <w:t> </w:t>
      </w:r>
      <w:r w:rsidRPr="00CE219D">
        <w:rPr>
          <w:rFonts w:ascii="Times New Roman" w:eastAsia="Times New Roman" w:hAnsi="Times New Roman" w:cs="Times New Roman"/>
          <w:sz w:val="24"/>
          <w:szCs w:val="24"/>
        </w:rPr>
        <w:t>5565(a)(1), presents a federal question, 28 U.S.C. § 1331, and is brought by an agency of the United States, 28 U.S.C. § 1345.</w:t>
      </w:r>
    </w:p>
    <w:p w14:paraId="494EFB1E" w14:textId="69047F17" w:rsidR="00891252" w:rsidRPr="00CE219D" w:rsidRDefault="00891252"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This Court has supplemental jurisdiction over </w:t>
      </w:r>
      <w:r w:rsidR="009832D0">
        <w:rPr>
          <w:rFonts w:ascii="Times New Roman" w:eastAsia="Times New Roman" w:hAnsi="Times New Roman" w:cs="Times New Roman"/>
          <w:sz w:val="24"/>
          <w:szCs w:val="24"/>
        </w:rPr>
        <w:t>the Department’s</w:t>
      </w:r>
      <w:r w:rsidRPr="00CE219D">
        <w:rPr>
          <w:rFonts w:ascii="Times New Roman" w:eastAsia="Times New Roman" w:hAnsi="Times New Roman" w:cs="Times New Roman"/>
          <w:sz w:val="24"/>
          <w:szCs w:val="24"/>
        </w:rPr>
        <w:t xml:space="preserve"> state-law claims because they are so related to the federal claims that they form part of the same case or controversy. 28 U.S.C. § 1367(a).</w:t>
      </w:r>
    </w:p>
    <w:p w14:paraId="7604985E" w14:textId="69E88C74" w:rsidR="00686CA4" w:rsidRPr="00CE219D" w:rsidRDefault="00686CA4"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lastRenderedPageBreak/>
        <w:t xml:space="preserve">This Court has personal jurisdiction over Defendants because Defendants are located, reside, </w:t>
      </w:r>
      <w:r w:rsidR="00837FD0">
        <w:rPr>
          <w:rFonts w:ascii="Times New Roman" w:eastAsia="Times New Roman" w:hAnsi="Times New Roman" w:cs="Times New Roman"/>
          <w:sz w:val="24"/>
          <w:szCs w:val="24"/>
        </w:rPr>
        <w:t>or</w:t>
      </w:r>
      <w:r w:rsidRPr="00CE219D">
        <w:rPr>
          <w:rFonts w:ascii="Times New Roman" w:eastAsia="Times New Roman" w:hAnsi="Times New Roman" w:cs="Times New Roman"/>
          <w:sz w:val="24"/>
          <w:szCs w:val="24"/>
        </w:rPr>
        <w:t xml:space="preserve"> do business in this district. 12 U.S.C. §</w:t>
      </w:r>
      <w:r w:rsidR="00DB4AAE" w:rsidRPr="00CE219D">
        <w:rPr>
          <w:rFonts w:ascii="Times New Roman" w:eastAsia="Times New Roman" w:hAnsi="Times New Roman" w:cs="Times New Roman"/>
          <w:sz w:val="24"/>
          <w:szCs w:val="24"/>
        </w:rPr>
        <w:t> </w:t>
      </w:r>
      <w:r w:rsidRPr="00CE219D">
        <w:rPr>
          <w:rFonts w:ascii="Times New Roman" w:eastAsia="Times New Roman" w:hAnsi="Times New Roman" w:cs="Times New Roman"/>
          <w:sz w:val="24"/>
          <w:szCs w:val="24"/>
        </w:rPr>
        <w:t>5564(f).</w:t>
      </w:r>
    </w:p>
    <w:p w14:paraId="295652A0" w14:textId="42017C7A" w:rsidR="00362C9F" w:rsidRPr="00CE219D" w:rsidRDefault="00362C9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Venue is proper because </w:t>
      </w:r>
      <w:r w:rsidR="003D7D59" w:rsidRPr="00CE219D">
        <w:rPr>
          <w:rFonts w:ascii="Times New Roman" w:eastAsia="Times New Roman" w:hAnsi="Times New Roman" w:cs="Times New Roman"/>
          <w:sz w:val="24"/>
          <w:szCs w:val="24"/>
        </w:rPr>
        <w:t xml:space="preserve">Defendants </w:t>
      </w:r>
      <w:r w:rsidR="00891252" w:rsidRPr="00CE219D">
        <w:rPr>
          <w:rFonts w:ascii="Times New Roman" w:eastAsia="Times New Roman" w:hAnsi="Times New Roman" w:cs="Times New Roman"/>
          <w:sz w:val="24"/>
          <w:szCs w:val="24"/>
        </w:rPr>
        <w:t xml:space="preserve">are </w:t>
      </w:r>
      <w:r w:rsidR="00645FAC" w:rsidRPr="00CE219D">
        <w:rPr>
          <w:rFonts w:ascii="Times New Roman" w:eastAsia="Times New Roman" w:hAnsi="Times New Roman" w:cs="Times New Roman"/>
          <w:sz w:val="24"/>
          <w:szCs w:val="24"/>
        </w:rPr>
        <w:t>located, reside, or do</w:t>
      </w:r>
      <w:r w:rsidRPr="00CE219D">
        <w:rPr>
          <w:rFonts w:ascii="Times New Roman" w:eastAsia="Times New Roman" w:hAnsi="Times New Roman" w:cs="Times New Roman"/>
          <w:sz w:val="24"/>
          <w:szCs w:val="24"/>
        </w:rPr>
        <w:t xml:space="preserve"> business in this district. 12 U.S.C. §</w:t>
      </w:r>
      <w:r w:rsidR="00645FAC" w:rsidRPr="00CE219D">
        <w:rPr>
          <w:rFonts w:ascii="Times New Roman" w:eastAsia="Times New Roman" w:hAnsi="Times New Roman" w:cs="Times New Roman"/>
          <w:sz w:val="24"/>
          <w:szCs w:val="24"/>
        </w:rPr>
        <w:t> </w:t>
      </w:r>
      <w:r w:rsidRPr="00CE219D">
        <w:rPr>
          <w:rFonts w:ascii="Times New Roman" w:eastAsia="Times New Roman" w:hAnsi="Times New Roman" w:cs="Times New Roman"/>
          <w:sz w:val="24"/>
          <w:szCs w:val="24"/>
        </w:rPr>
        <w:t>5564(f)</w:t>
      </w:r>
      <w:r w:rsidR="00837FD0">
        <w:rPr>
          <w:rFonts w:ascii="Times New Roman" w:eastAsia="Times New Roman" w:hAnsi="Times New Roman" w:cs="Times New Roman"/>
          <w:sz w:val="24"/>
          <w:szCs w:val="24"/>
        </w:rPr>
        <w:t>; 28 U.S.C. 1391(b)</w:t>
      </w:r>
      <w:r w:rsidRPr="00CE219D">
        <w:rPr>
          <w:rFonts w:ascii="Times New Roman" w:eastAsia="Times New Roman" w:hAnsi="Times New Roman" w:cs="Times New Roman"/>
          <w:sz w:val="24"/>
          <w:szCs w:val="24"/>
        </w:rPr>
        <w:t>.</w:t>
      </w:r>
    </w:p>
    <w:p w14:paraId="6FAC7CFE" w14:textId="77777777" w:rsidR="00B0536D" w:rsidRPr="00CE219D" w:rsidRDefault="00B0536D" w:rsidP="00CE219D">
      <w:pPr>
        <w:spacing w:after="0" w:line="240" w:lineRule="auto"/>
        <w:ind w:firstLine="720"/>
        <w:jc w:val="center"/>
        <w:rPr>
          <w:rFonts w:ascii="Times New Roman" w:eastAsia="Times New Roman" w:hAnsi="Times New Roman" w:cs="Times New Roman"/>
          <w:b/>
          <w:sz w:val="24"/>
          <w:szCs w:val="24"/>
        </w:rPr>
      </w:pPr>
    </w:p>
    <w:p w14:paraId="4744174E" w14:textId="77777777" w:rsidR="00362C9F" w:rsidRPr="00CE219D" w:rsidRDefault="00362C9F" w:rsidP="005737A1">
      <w:pPr>
        <w:spacing w:after="0" w:line="480" w:lineRule="auto"/>
        <w:jc w:val="center"/>
        <w:rPr>
          <w:rFonts w:ascii="Times New Roman" w:eastAsia="Times New Roman" w:hAnsi="Times New Roman" w:cs="Times New Roman"/>
          <w:b/>
          <w:sz w:val="24"/>
          <w:szCs w:val="24"/>
        </w:rPr>
      </w:pPr>
      <w:r w:rsidRPr="00CE219D">
        <w:rPr>
          <w:rFonts w:ascii="Times New Roman" w:eastAsia="Times New Roman" w:hAnsi="Times New Roman" w:cs="Times New Roman"/>
          <w:b/>
          <w:sz w:val="24"/>
          <w:szCs w:val="24"/>
        </w:rPr>
        <w:t>Parties</w:t>
      </w:r>
    </w:p>
    <w:p w14:paraId="1A3EEF11" w14:textId="77777777" w:rsidR="00362C9F" w:rsidRPr="00CE219D" w:rsidRDefault="00362C9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The Bureau is an independent agency of the United States created by the CFPA. 12 U.S.C. § 5491(a). The Bureau has independent litigating authority and is authorized to initiate civil actions in federal district court to secure appropriate relief for violations of “Federal consumer financial law,” 12 U.S.C. § 5564(a)-(b), including the CFPA, 12 U.S.C. §</w:t>
      </w:r>
      <w:r w:rsidR="00A72777" w:rsidRPr="00CE219D">
        <w:rPr>
          <w:rFonts w:ascii="Times New Roman" w:eastAsia="Times New Roman" w:hAnsi="Times New Roman" w:cs="Times New Roman"/>
          <w:sz w:val="24"/>
          <w:szCs w:val="24"/>
        </w:rPr>
        <w:t> </w:t>
      </w:r>
      <w:r w:rsidRPr="00CE219D">
        <w:rPr>
          <w:rFonts w:ascii="Times New Roman" w:eastAsia="Times New Roman" w:hAnsi="Times New Roman" w:cs="Times New Roman"/>
          <w:sz w:val="24"/>
          <w:szCs w:val="24"/>
        </w:rPr>
        <w:t>5481(14).</w:t>
      </w:r>
    </w:p>
    <w:p w14:paraId="7B662FF2" w14:textId="6C65EC43" w:rsidR="004E0741" w:rsidRPr="00CE219D" w:rsidRDefault="009832D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C13C1C" w:rsidRPr="00CE219D">
        <w:rPr>
          <w:rFonts w:ascii="Times New Roman" w:eastAsia="Times New Roman" w:hAnsi="Times New Roman" w:cs="Times New Roman"/>
          <w:sz w:val="24"/>
          <w:szCs w:val="24"/>
        </w:rPr>
        <w:t xml:space="preserve"> is </w:t>
      </w:r>
      <w:r w:rsidR="00891252" w:rsidRPr="00CE219D">
        <w:rPr>
          <w:rFonts w:ascii="Times New Roman" w:eastAsia="Times New Roman" w:hAnsi="Times New Roman" w:cs="Times New Roman"/>
          <w:sz w:val="24"/>
          <w:szCs w:val="24"/>
        </w:rPr>
        <w:t xml:space="preserve">charged with </w:t>
      </w:r>
      <w:r w:rsidR="0032041C" w:rsidRPr="00CE219D">
        <w:rPr>
          <w:rFonts w:ascii="Times New Roman" w:eastAsia="Times New Roman" w:hAnsi="Times New Roman" w:cs="Times New Roman"/>
          <w:sz w:val="24"/>
          <w:szCs w:val="24"/>
        </w:rPr>
        <w:t>administering</w:t>
      </w:r>
      <w:r w:rsidR="00891252" w:rsidRPr="00CE219D">
        <w:rPr>
          <w:rFonts w:ascii="Times New Roman" w:eastAsia="Times New Roman" w:hAnsi="Times New Roman" w:cs="Times New Roman"/>
          <w:sz w:val="24"/>
          <w:szCs w:val="24"/>
        </w:rPr>
        <w:t xml:space="preserve"> and </w:t>
      </w:r>
      <w:r w:rsidR="0032041C" w:rsidRPr="00CE219D">
        <w:rPr>
          <w:rFonts w:ascii="Times New Roman" w:eastAsia="Times New Roman" w:hAnsi="Times New Roman" w:cs="Times New Roman"/>
          <w:sz w:val="24"/>
          <w:szCs w:val="24"/>
        </w:rPr>
        <w:t>enforcing</w:t>
      </w:r>
      <w:r w:rsidR="00891252" w:rsidRPr="00CE219D">
        <w:rPr>
          <w:rFonts w:ascii="Times New Roman" w:eastAsia="Times New Roman" w:hAnsi="Times New Roman" w:cs="Times New Roman"/>
          <w:sz w:val="24"/>
          <w:szCs w:val="24"/>
        </w:rPr>
        <w:t xml:space="preserve"> the South Carolina Consumer Protection Code, S.C. Code Ann. § 37-1-101 et seq.</w:t>
      </w:r>
      <w:r w:rsidR="00611E78" w:rsidRPr="00CE219D">
        <w:rPr>
          <w:rFonts w:ascii="Times New Roman" w:eastAsia="Times New Roman" w:hAnsi="Times New Roman" w:cs="Times New Roman"/>
          <w:sz w:val="24"/>
          <w:szCs w:val="24"/>
        </w:rPr>
        <w:t xml:space="preserve"> (</w:t>
      </w:r>
      <w:r w:rsidR="004D7302" w:rsidRPr="00CE219D">
        <w:rPr>
          <w:rFonts w:ascii="Times New Roman" w:eastAsia="Times New Roman" w:hAnsi="Times New Roman" w:cs="Times New Roman"/>
          <w:sz w:val="24"/>
          <w:szCs w:val="24"/>
        </w:rPr>
        <w:t>SCCPC</w:t>
      </w:r>
      <w:r w:rsidR="00611E78" w:rsidRPr="00CE219D">
        <w:rPr>
          <w:rFonts w:ascii="Times New Roman" w:eastAsia="Times New Roman" w:hAnsi="Times New Roman" w:cs="Times New Roman"/>
          <w:sz w:val="24"/>
          <w:szCs w:val="24"/>
        </w:rPr>
        <w:t>)</w:t>
      </w:r>
      <w:r w:rsidR="00891252" w:rsidRPr="00CE219D">
        <w:rPr>
          <w:rFonts w:ascii="Times New Roman" w:eastAsia="Times New Roman" w:hAnsi="Times New Roman" w:cs="Times New Roman"/>
          <w:sz w:val="24"/>
          <w:szCs w:val="24"/>
        </w:rPr>
        <w:t xml:space="preserve">, </w:t>
      </w:r>
      <w:r w:rsidR="0032041C" w:rsidRPr="00CE219D">
        <w:rPr>
          <w:rFonts w:ascii="Times New Roman" w:eastAsia="Times New Roman" w:hAnsi="Times New Roman" w:cs="Times New Roman"/>
          <w:sz w:val="24"/>
          <w:szCs w:val="24"/>
        </w:rPr>
        <w:t>which governs consumer-</w:t>
      </w:r>
      <w:r w:rsidR="002B2819" w:rsidRPr="00CE219D">
        <w:rPr>
          <w:rFonts w:ascii="Times New Roman" w:eastAsia="Times New Roman" w:hAnsi="Times New Roman" w:cs="Times New Roman"/>
          <w:sz w:val="24"/>
          <w:szCs w:val="24"/>
        </w:rPr>
        <w:t xml:space="preserve">credit transactions made in </w:t>
      </w:r>
      <w:r w:rsidR="0035010E" w:rsidRPr="00CE219D">
        <w:rPr>
          <w:rFonts w:ascii="Times New Roman" w:eastAsia="Times New Roman" w:hAnsi="Times New Roman" w:cs="Times New Roman"/>
          <w:sz w:val="24"/>
          <w:szCs w:val="24"/>
        </w:rPr>
        <w:t>South Carolina</w:t>
      </w:r>
      <w:r w:rsidR="00611E78" w:rsidRPr="00CE2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Department</w:t>
      </w:r>
      <w:r w:rsidR="00611E78" w:rsidRPr="00CE219D">
        <w:rPr>
          <w:rFonts w:ascii="Times New Roman" w:eastAsia="Times New Roman" w:hAnsi="Times New Roman" w:cs="Times New Roman"/>
          <w:sz w:val="24"/>
          <w:szCs w:val="24"/>
        </w:rPr>
        <w:t xml:space="preserve"> can seek an injunction against any person violating </w:t>
      </w:r>
      <w:r w:rsidR="008A6C42" w:rsidRPr="00CE219D">
        <w:rPr>
          <w:rFonts w:ascii="Times New Roman" w:eastAsia="Times New Roman" w:hAnsi="Times New Roman" w:cs="Times New Roman"/>
          <w:sz w:val="24"/>
          <w:szCs w:val="24"/>
        </w:rPr>
        <w:t xml:space="preserve">the </w:t>
      </w:r>
      <w:r w:rsidR="004D7302" w:rsidRPr="00CE219D">
        <w:rPr>
          <w:rFonts w:ascii="Times New Roman" w:eastAsia="Times New Roman" w:hAnsi="Times New Roman" w:cs="Times New Roman"/>
          <w:sz w:val="24"/>
          <w:szCs w:val="24"/>
        </w:rPr>
        <w:t>SCCPC</w:t>
      </w:r>
      <w:r w:rsidR="00611E78" w:rsidRPr="00CE219D">
        <w:rPr>
          <w:rFonts w:ascii="Times New Roman" w:eastAsia="Times New Roman" w:hAnsi="Times New Roman" w:cs="Times New Roman"/>
          <w:sz w:val="24"/>
          <w:szCs w:val="24"/>
        </w:rPr>
        <w:t xml:space="preserve"> and request other appropriate relief</w:t>
      </w:r>
      <w:r w:rsidR="0032041C" w:rsidRPr="00CE219D">
        <w:rPr>
          <w:rFonts w:ascii="Times New Roman" w:eastAsia="Times New Roman" w:hAnsi="Times New Roman" w:cs="Times New Roman"/>
          <w:sz w:val="24"/>
          <w:szCs w:val="24"/>
        </w:rPr>
        <w:t>,</w:t>
      </w:r>
      <w:r w:rsidR="00611E78" w:rsidRPr="00CE219D">
        <w:rPr>
          <w:rFonts w:ascii="Times New Roman" w:eastAsia="Times New Roman" w:hAnsi="Times New Roman" w:cs="Times New Roman"/>
          <w:sz w:val="24"/>
          <w:szCs w:val="24"/>
        </w:rPr>
        <w:t xml:space="preserve"> including reforming contracts to conform to </w:t>
      </w:r>
      <w:r w:rsidR="008A6C42" w:rsidRPr="00CE219D">
        <w:rPr>
          <w:rFonts w:ascii="Times New Roman" w:eastAsia="Times New Roman" w:hAnsi="Times New Roman" w:cs="Times New Roman"/>
          <w:sz w:val="24"/>
          <w:szCs w:val="24"/>
        </w:rPr>
        <w:t xml:space="preserve">the </w:t>
      </w:r>
      <w:r w:rsidR="004D7302" w:rsidRPr="00CE219D">
        <w:rPr>
          <w:rFonts w:ascii="Times New Roman" w:eastAsia="Times New Roman" w:hAnsi="Times New Roman" w:cs="Times New Roman"/>
          <w:sz w:val="24"/>
          <w:szCs w:val="24"/>
        </w:rPr>
        <w:t>SCCPC</w:t>
      </w:r>
      <w:r w:rsidR="0032041C" w:rsidRPr="00CE219D">
        <w:rPr>
          <w:rFonts w:ascii="Times New Roman" w:eastAsia="Times New Roman" w:hAnsi="Times New Roman" w:cs="Times New Roman"/>
          <w:sz w:val="24"/>
          <w:szCs w:val="24"/>
        </w:rPr>
        <w:t>,</w:t>
      </w:r>
      <w:r w:rsidR="00611E78" w:rsidRPr="00CE219D">
        <w:rPr>
          <w:rFonts w:ascii="Times New Roman" w:eastAsia="Times New Roman" w:hAnsi="Times New Roman" w:cs="Times New Roman"/>
          <w:sz w:val="24"/>
          <w:szCs w:val="24"/>
        </w:rPr>
        <w:t xml:space="preserve"> even though a consumer is not a party to the action. S.C. Code Ann. § 37-6-110</w:t>
      </w:r>
      <w:r w:rsidR="00433131" w:rsidRPr="00CE2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Department</w:t>
      </w:r>
      <w:r w:rsidR="0062445E" w:rsidRPr="00CE219D">
        <w:rPr>
          <w:rFonts w:ascii="Times New Roman" w:eastAsia="Times New Roman" w:hAnsi="Times New Roman" w:cs="Times New Roman"/>
          <w:sz w:val="24"/>
          <w:szCs w:val="24"/>
        </w:rPr>
        <w:t xml:space="preserve"> can</w:t>
      </w:r>
      <w:r w:rsidR="0035010E" w:rsidRPr="00CE219D">
        <w:rPr>
          <w:rFonts w:ascii="Times New Roman" w:eastAsia="Times New Roman" w:hAnsi="Times New Roman" w:cs="Times New Roman"/>
          <w:sz w:val="24"/>
          <w:szCs w:val="24"/>
        </w:rPr>
        <w:t xml:space="preserve"> also</w:t>
      </w:r>
      <w:r w:rsidR="0062445E" w:rsidRPr="00CE219D">
        <w:rPr>
          <w:rFonts w:ascii="Times New Roman" w:eastAsia="Times New Roman" w:hAnsi="Times New Roman" w:cs="Times New Roman"/>
          <w:sz w:val="24"/>
          <w:szCs w:val="24"/>
        </w:rPr>
        <w:t xml:space="preserve"> bring an action against a person to recover a civil penalty for repeatedly</w:t>
      </w:r>
      <w:r w:rsidR="003755A7" w:rsidRPr="00CE219D">
        <w:rPr>
          <w:rFonts w:ascii="Times New Roman" w:eastAsia="Times New Roman" w:hAnsi="Times New Roman" w:cs="Times New Roman"/>
          <w:sz w:val="24"/>
          <w:szCs w:val="24"/>
        </w:rPr>
        <w:t xml:space="preserve"> and intentionally violating</w:t>
      </w:r>
      <w:r w:rsidR="0062445E" w:rsidRPr="00CE219D">
        <w:rPr>
          <w:rFonts w:ascii="Times New Roman" w:eastAsia="Times New Roman" w:hAnsi="Times New Roman" w:cs="Times New Roman"/>
          <w:sz w:val="24"/>
          <w:szCs w:val="24"/>
        </w:rPr>
        <w:t xml:space="preserve"> the SCCPC.</w:t>
      </w:r>
      <w:r w:rsidR="00611E78" w:rsidRPr="00CE21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Department</w:t>
      </w:r>
      <w:r w:rsidR="0032041C" w:rsidRPr="00CE219D">
        <w:rPr>
          <w:rFonts w:ascii="Times New Roman" w:eastAsia="Times New Roman" w:hAnsi="Times New Roman" w:cs="Times New Roman"/>
          <w:sz w:val="24"/>
          <w:szCs w:val="24"/>
        </w:rPr>
        <w:t xml:space="preserve"> also is authorized to initiate civil actions in federal district court to enforce provisions of the CFPA with respect to an entity that is authorized to do business under South Carolina law. 12 U.S.C. </w:t>
      </w:r>
      <w:r w:rsidR="00CE7160">
        <w:rPr>
          <w:rFonts w:ascii="Times New Roman" w:eastAsia="Times New Roman" w:hAnsi="Times New Roman" w:cs="Times New Roman"/>
          <w:sz w:val="24"/>
          <w:szCs w:val="24"/>
        </w:rPr>
        <w:t>§</w:t>
      </w:r>
      <w:r w:rsidR="0009022D" w:rsidRPr="00CE219D">
        <w:rPr>
          <w:rFonts w:ascii="Times New Roman" w:eastAsia="Times New Roman" w:hAnsi="Times New Roman" w:cs="Times New Roman"/>
          <w:sz w:val="24"/>
          <w:szCs w:val="24"/>
        </w:rPr>
        <w:t> </w:t>
      </w:r>
      <w:r w:rsidR="0032041C" w:rsidRPr="00CE219D">
        <w:rPr>
          <w:rFonts w:ascii="Times New Roman" w:eastAsia="Times New Roman" w:hAnsi="Times New Roman" w:cs="Times New Roman"/>
          <w:sz w:val="24"/>
          <w:szCs w:val="24"/>
        </w:rPr>
        <w:t xml:space="preserve">5552(a)(1). </w:t>
      </w:r>
    </w:p>
    <w:p w14:paraId="1A4A4FC7" w14:textId="784EC020" w:rsidR="00DB4AAE" w:rsidRPr="00CE219D" w:rsidRDefault="00DB4AAE"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Leslie Rutledge is the Attorney General for the State of Arkansas and is the chief legal officer of the State</w:t>
      </w:r>
      <w:r w:rsidR="00A0603C" w:rsidRPr="00CE219D">
        <w:rPr>
          <w:rFonts w:ascii="Times New Roman" w:eastAsia="Times New Roman" w:hAnsi="Times New Roman" w:cs="Times New Roman"/>
          <w:sz w:val="24"/>
          <w:szCs w:val="24"/>
        </w:rPr>
        <w:t xml:space="preserve"> of Arkansas</w:t>
      </w:r>
      <w:r w:rsidRPr="00CE219D">
        <w:rPr>
          <w:rFonts w:ascii="Times New Roman" w:eastAsia="Times New Roman" w:hAnsi="Times New Roman" w:cs="Times New Roman"/>
          <w:sz w:val="24"/>
          <w:szCs w:val="24"/>
        </w:rPr>
        <w:t xml:space="preserve">. </w:t>
      </w:r>
      <w:r w:rsidR="004E0741" w:rsidRPr="00CE219D">
        <w:rPr>
          <w:rFonts w:ascii="Times New Roman" w:eastAsia="Times New Roman" w:hAnsi="Times New Roman" w:cs="Times New Roman"/>
          <w:sz w:val="24"/>
          <w:szCs w:val="24"/>
        </w:rPr>
        <w:t>Arkansas is authorized to initiate civil actions in federal district court to enforce provisions of the CFPA. 12 U.S.C. §</w:t>
      </w:r>
      <w:r w:rsidR="00356432" w:rsidRPr="00CE219D">
        <w:rPr>
          <w:rFonts w:ascii="Times New Roman" w:eastAsia="Times New Roman" w:hAnsi="Times New Roman" w:cs="Times New Roman"/>
          <w:sz w:val="24"/>
          <w:szCs w:val="24"/>
        </w:rPr>
        <w:t> </w:t>
      </w:r>
      <w:r w:rsidR="004E0741" w:rsidRPr="00CE219D">
        <w:rPr>
          <w:rFonts w:ascii="Times New Roman" w:eastAsia="Times New Roman" w:hAnsi="Times New Roman" w:cs="Times New Roman"/>
          <w:sz w:val="24"/>
          <w:szCs w:val="24"/>
        </w:rPr>
        <w:t>5552(a)(1).</w:t>
      </w:r>
    </w:p>
    <w:p w14:paraId="2FE33852" w14:textId="4E50E973" w:rsidR="00B9554E" w:rsidRPr="00CE219D" w:rsidRDefault="00B9554E"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lastRenderedPageBreak/>
        <w:t xml:space="preserve">Defendant </w:t>
      </w:r>
      <w:r w:rsidR="00DF7334" w:rsidRPr="00CE219D">
        <w:rPr>
          <w:rFonts w:ascii="Times New Roman" w:eastAsia="Times New Roman" w:hAnsi="Times New Roman" w:cs="Times New Roman"/>
          <w:sz w:val="24"/>
          <w:szCs w:val="24"/>
        </w:rPr>
        <w:t>Upstate Law Group</w:t>
      </w:r>
      <w:r w:rsidR="00B11490" w:rsidRPr="00CE219D">
        <w:rPr>
          <w:rFonts w:ascii="Times New Roman" w:eastAsia="Times New Roman" w:hAnsi="Times New Roman" w:cs="Times New Roman"/>
          <w:sz w:val="24"/>
          <w:szCs w:val="24"/>
        </w:rPr>
        <w:t xml:space="preserve"> </w:t>
      </w:r>
      <w:r w:rsidR="00EE41EB" w:rsidRPr="00CE219D">
        <w:rPr>
          <w:rFonts w:ascii="Times New Roman" w:eastAsia="Times New Roman" w:hAnsi="Times New Roman" w:cs="Times New Roman"/>
          <w:sz w:val="24"/>
          <w:szCs w:val="24"/>
        </w:rPr>
        <w:t xml:space="preserve">LLC </w:t>
      </w:r>
      <w:r w:rsidR="00B11490" w:rsidRPr="00CE219D">
        <w:rPr>
          <w:rFonts w:ascii="Times New Roman" w:eastAsia="Times New Roman" w:hAnsi="Times New Roman" w:cs="Times New Roman"/>
          <w:sz w:val="24"/>
          <w:szCs w:val="24"/>
        </w:rPr>
        <w:t>(ULG)</w:t>
      </w:r>
      <w:r w:rsidRPr="00CE219D">
        <w:rPr>
          <w:rFonts w:ascii="Times New Roman" w:eastAsia="Times New Roman" w:hAnsi="Times New Roman" w:cs="Times New Roman"/>
          <w:sz w:val="24"/>
          <w:szCs w:val="24"/>
        </w:rPr>
        <w:t xml:space="preserve"> is a </w:t>
      </w:r>
      <w:r w:rsidR="00111F66" w:rsidRPr="00CE219D">
        <w:rPr>
          <w:rFonts w:ascii="Times New Roman" w:eastAsia="Times New Roman" w:hAnsi="Times New Roman" w:cs="Times New Roman"/>
          <w:sz w:val="24"/>
          <w:szCs w:val="24"/>
        </w:rPr>
        <w:t xml:space="preserve">South Carolina </w:t>
      </w:r>
      <w:r w:rsidR="0060311C" w:rsidRPr="00CE219D">
        <w:rPr>
          <w:rFonts w:ascii="Times New Roman" w:eastAsia="Times New Roman" w:hAnsi="Times New Roman" w:cs="Times New Roman"/>
          <w:sz w:val="24"/>
          <w:szCs w:val="24"/>
        </w:rPr>
        <w:t>corporation</w:t>
      </w:r>
      <w:r w:rsidR="005936A4" w:rsidRPr="00CE219D">
        <w:rPr>
          <w:rFonts w:ascii="Times New Roman" w:eastAsia="Times New Roman" w:hAnsi="Times New Roman" w:cs="Times New Roman"/>
          <w:sz w:val="24"/>
          <w:szCs w:val="24"/>
        </w:rPr>
        <w:t xml:space="preserve"> </w:t>
      </w:r>
      <w:r w:rsidRPr="00CE219D">
        <w:rPr>
          <w:rFonts w:ascii="Times New Roman" w:eastAsia="Times New Roman" w:hAnsi="Times New Roman" w:cs="Times New Roman"/>
          <w:sz w:val="24"/>
          <w:szCs w:val="24"/>
        </w:rPr>
        <w:t xml:space="preserve">headquartered in </w:t>
      </w:r>
      <w:r w:rsidR="00F54AD1" w:rsidRPr="00CE219D">
        <w:rPr>
          <w:rFonts w:ascii="Times New Roman" w:eastAsia="Times New Roman" w:hAnsi="Times New Roman" w:cs="Times New Roman"/>
          <w:sz w:val="24"/>
          <w:szCs w:val="24"/>
        </w:rPr>
        <w:t>Easley</w:t>
      </w:r>
      <w:r w:rsidRPr="00CE219D">
        <w:rPr>
          <w:rFonts w:ascii="Times New Roman" w:eastAsia="Times New Roman" w:hAnsi="Times New Roman" w:cs="Times New Roman"/>
          <w:sz w:val="24"/>
          <w:szCs w:val="24"/>
        </w:rPr>
        <w:t>, South Carolina</w:t>
      </w:r>
      <w:r w:rsidR="00F706CF" w:rsidRPr="00CE219D">
        <w:rPr>
          <w:rFonts w:ascii="Times New Roman" w:eastAsia="Times New Roman" w:hAnsi="Times New Roman" w:cs="Times New Roman"/>
          <w:sz w:val="24"/>
          <w:szCs w:val="24"/>
        </w:rPr>
        <w:t xml:space="preserve"> and was authorized to conduct business in South Carolina by the Secretary of State’s Office</w:t>
      </w:r>
      <w:r w:rsidRPr="00CE219D">
        <w:rPr>
          <w:rFonts w:ascii="Times New Roman" w:eastAsia="Times New Roman" w:hAnsi="Times New Roman" w:cs="Times New Roman"/>
          <w:sz w:val="24"/>
          <w:szCs w:val="24"/>
        </w:rPr>
        <w:t xml:space="preserve">. </w:t>
      </w:r>
      <w:r w:rsidR="00B11490" w:rsidRPr="00CE219D">
        <w:rPr>
          <w:rFonts w:ascii="Times New Roman" w:eastAsia="Times New Roman" w:hAnsi="Times New Roman" w:cs="Times New Roman"/>
          <w:sz w:val="24"/>
          <w:szCs w:val="24"/>
        </w:rPr>
        <w:t>ULG</w:t>
      </w:r>
      <w:r w:rsidR="00764CDE" w:rsidRPr="00CE219D">
        <w:rPr>
          <w:rFonts w:ascii="Times New Roman" w:eastAsia="Times New Roman" w:hAnsi="Times New Roman" w:cs="Times New Roman"/>
          <w:sz w:val="24"/>
          <w:szCs w:val="24"/>
        </w:rPr>
        <w:t xml:space="preserve"> </w:t>
      </w:r>
      <w:r w:rsidR="00BB3628" w:rsidRPr="00CE219D">
        <w:rPr>
          <w:rFonts w:ascii="Times New Roman" w:eastAsia="Times New Roman" w:hAnsi="Times New Roman" w:cs="Times New Roman"/>
          <w:sz w:val="24"/>
          <w:szCs w:val="24"/>
        </w:rPr>
        <w:t xml:space="preserve">provided substantial assistance to covered persons engaged in brokering contracts containing a South Carolina choice-of-law provision. ULG provided substantial assistance to covered persons engaged in brokering extensions of credit to consumers. </w:t>
      </w:r>
      <w:r w:rsidR="003A3B3B" w:rsidRPr="00CE219D">
        <w:rPr>
          <w:rFonts w:ascii="Times New Roman" w:eastAsia="Times New Roman" w:hAnsi="Times New Roman" w:cs="Times New Roman"/>
          <w:sz w:val="24"/>
          <w:szCs w:val="24"/>
        </w:rPr>
        <w:t xml:space="preserve">12 U.S.C. § 5536(A)(3). </w:t>
      </w:r>
      <w:r w:rsidR="00BB3628" w:rsidRPr="00CE219D">
        <w:rPr>
          <w:rFonts w:ascii="Times New Roman" w:eastAsia="Times New Roman" w:hAnsi="Times New Roman" w:cs="Times New Roman"/>
          <w:sz w:val="24"/>
          <w:szCs w:val="24"/>
        </w:rPr>
        <w:t>ULG also engaged</w:t>
      </w:r>
      <w:r w:rsidR="00B11490" w:rsidRPr="00CE219D">
        <w:rPr>
          <w:rFonts w:ascii="Times New Roman" w:eastAsia="Times New Roman" w:hAnsi="Times New Roman" w:cs="Times New Roman"/>
          <w:sz w:val="24"/>
          <w:szCs w:val="24"/>
        </w:rPr>
        <w:t xml:space="preserve"> in collecting </w:t>
      </w:r>
      <w:r w:rsidR="001219BA" w:rsidRPr="00CE219D">
        <w:rPr>
          <w:rFonts w:ascii="Times New Roman" w:eastAsia="Times New Roman" w:hAnsi="Times New Roman" w:cs="Times New Roman"/>
          <w:sz w:val="24"/>
          <w:szCs w:val="24"/>
        </w:rPr>
        <w:t>debt related to extensions of credit to consumers</w:t>
      </w:r>
      <w:r w:rsidR="007C3A85" w:rsidRPr="00CE219D">
        <w:rPr>
          <w:rFonts w:ascii="Times New Roman" w:eastAsia="Times New Roman" w:hAnsi="Times New Roman" w:cs="Times New Roman"/>
          <w:sz w:val="24"/>
          <w:szCs w:val="24"/>
        </w:rPr>
        <w:t>,</w:t>
      </w:r>
      <w:r w:rsidR="00C030EA" w:rsidRPr="00CE219D">
        <w:rPr>
          <w:rFonts w:ascii="Times New Roman" w:eastAsia="Times New Roman" w:hAnsi="Times New Roman" w:cs="Times New Roman"/>
          <w:sz w:val="24"/>
          <w:szCs w:val="24"/>
        </w:rPr>
        <w:t xml:space="preserve"> acted as a custodian of funds for use by or on behalf of consumers</w:t>
      </w:r>
      <w:r w:rsidR="007C3A85" w:rsidRPr="00CE219D">
        <w:rPr>
          <w:rFonts w:ascii="Times New Roman" w:eastAsia="Times New Roman" w:hAnsi="Times New Roman" w:cs="Times New Roman"/>
          <w:sz w:val="24"/>
          <w:szCs w:val="24"/>
        </w:rPr>
        <w:t>, and provided payment-processing services to consumers by technological means</w:t>
      </w:r>
      <w:r w:rsidR="003C1AAF" w:rsidRPr="00CE219D">
        <w:rPr>
          <w:rFonts w:ascii="Times New Roman" w:eastAsia="Times New Roman" w:hAnsi="Times New Roman" w:cs="Times New Roman"/>
          <w:sz w:val="24"/>
          <w:szCs w:val="24"/>
        </w:rPr>
        <w:t xml:space="preserve">. </w:t>
      </w:r>
      <w:r w:rsidR="00222EFE" w:rsidRPr="00CE219D">
        <w:rPr>
          <w:rFonts w:ascii="Times New Roman" w:eastAsia="Times New Roman" w:hAnsi="Times New Roman" w:cs="Times New Roman"/>
          <w:sz w:val="24"/>
          <w:szCs w:val="24"/>
        </w:rPr>
        <w:t>12 U.S.C. § 5481(15)(A)(</w:t>
      </w:r>
      <w:r w:rsidR="00BD34E0" w:rsidRPr="00CE219D">
        <w:rPr>
          <w:rFonts w:ascii="Times New Roman" w:eastAsia="Times New Roman" w:hAnsi="Times New Roman" w:cs="Times New Roman"/>
          <w:sz w:val="24"/>
          <w:szCs w:val="24"/>
        </w:rPr>
        <w:t>iv</w:t>
      </w:r>
      <w:r w:rsidR="00222EFE" w:rsidRPr="00CE219D">
        <w:rPr>
          <w:rFonts w:ascii="Times New Roman" w:eastAsia="Times New Roman" w:hAnsi="Times New Roman" w:cs="Times New Roman"/>
          <w:sz w:val="24"/>
          <w:szCs w:val="24"/>
        </w:rPr>
        <w:t>),</w:t>
      </w:r>
      <w:r w:rsidR="007C3A85" w:rsidRPr="00CE219D">
        <w:rPr>
          <w:rFonts w:ascii="Times New Roman" w:eastAsia="Times New Roman" w:hAnsi="Times New Roman" w:cs="Times New Roman"/>
          <w:sz w:val="24"/>
          <w:szCs w:val="24"/>
        </w:rPr>
        <w:t xml:space="preserve"> (15)(A)(vii),</w:t>
      </w:r>
      <w:r w:rsidR="00222EFE" w:rsidRPr="00CE219D">
        <w:rPr>
          <w:rFonts w:ascii="Times New Roman" w:eastAsia="Times New Roman" w:hAnsi="Times New Roman" w:cs="Times New Roman"/>
          <w:sz w:val="24"/>
          <w:szCs w:val="24"/>
        </w:rPr>
        <w:t xml:space="preserve"> (15)(A)(</w:t>
      </w:r>
      <w:r w:rsidR="00BD34E0" w:rsidRPr="00CE219D">
        <w:rPr>
          <w:rFonts w:ascii="Times New Roman" w:eastAsia="Times New Roman" w:hAnsi="Times New Roman" w:cs="Times New Roman"/>
          <w:sz w:val="24"/>
          <w:szCs w:val="24"/>
        </w:rPr>
        <w:t>x</w:t>
      </w:r>
      <w:r w:rsidR="00222EFE" w:rsidRPr="00CE219D">
        <w:rPr>
          <w:rFonts w:ascii="Times New Roman" w:eastAsia="Times New Roman" w:hAnsi="Times New Roman" w:cs="Times New Roman"/>
          <w:sz w:val="24"/>
          <w:szCs w:val="24"/>
        </w:rPr>
        <w:t xml:space="preserve">). </w:t>
      </w:r>
      <w:r w:rsidR="003C1AAF" w:rsidRPr="00CE219D">
        <w:rPr>
          <w:rFonts w:ascii="Times New Roman" w:eastAsia="Times New Roman" w:hAnsi="Times New Roman" w:cs="Times New Roman"/>
          <w:sz w:val="24"/>
          <w:szCs w:val="24"/>
        </w:rPr>
        <w:t xml:space="preserve">ULG </w:t>
      </w:r>
      <w:r w:rsidR="003C3C37" w:rsidRPr="00CE219D">
        <w:rPr>
          <w:rFonts w:ascii="Times New Roman" w:eastAsia="Times New Roman" w:hAnsi="Times New Roman" w:cs="Times New Roman"/>
          <w:sz w:val="24"/>
          <w:szCs w:val="24"/>
        </w:rPr>
        <w:t>is therefore a “covered person” under the CFPA. 12</w:t>
      </w:r>
      <w:r w:rsidR="00B11490" w:rsidRPr="00CE219D">
        <w:rPr>
          <w:rFonts w:ascii="Times New Roman" w:eastAsia="Times New Roman" w:hAnsi="Times New Roman" w:cs="Times New Roman"/>
          <w:sz w:val="24"/>
          <w:szCs w:val="24"/>
        </w:rPr>
        <w:t xml:space="preserve"> U.S.C. §</w:t>
      </w:r>
      <w:r w:rsidR="001219BA" w:rsidRPr="00CE219D">
        <w:rPr>
          <w:rFonts w:ascii="Times New Roman" w:eastAsia="Times New Roman" w:hAnsi="Times New Roman" w:cs="Times New Roman"/>
          <w:sz w:val="24"/>
          <w:szCs w:val="24"/>
        </w:rPr>
        <w:t> </w:t>
      </w:r>
      <w:r w:rsidR="00B11490" w:rsidRPr="00CE219D">
        <w:rPr>
          <w:rFonts w:ascii="Times New Roman" w:eastAsia="Times New Roman" w:hAnsi="Times New Roman" w:cs="Times New Roman"/>
          <w:sz w:val="24"/>
          <w:szCs w:val="24"/>
        </w:rPr>
        <w:t>5481(5)-(</w:t>
      </w:r>
      <w:r w:rsidR="00BD34E0" w:rsidRPr="00CE219D">
        <w:rPr>
          <w:rFonts w:ascii="Times New Roman" w:eastAsia="Times New Roman" w:hAnsi="Times New Roman" w:cs="Times New Roman"/>
          <w:sz w:val="24"/>
          <w:szCs w:val="24"/>
        </w:rPr>
        <w:t>6</w:t>
      </w:r>
      <w:r w:rsidR="00B11490" w:rsidRPr="00CE219D">
        <w:rPr>
          <w:rFonts w:ascii="Times New Roman" w:eastAsia="Times New Roman" w:hAnsi="Times New Roman" w:cs="Times New Roman"/>
          <w:sz w:val="24"/>
          <w:szCs w:val="24"/>
        </w:rPr>
        <w:t>)</w:t>
      </w:r>
      <w:r w:rsidR="00CA313E" w:rsidRPr="00CE219D">
        <w:rPr>
          <w:rFonts w:ascii="Times New Roman" w:eastAsia="Times New Roman" w:hAnsi="Times New Roman" w:cs="Times New Roman"/>
          <w:sz w:val="24"/>
          <w:szCs w:val="24"/>
        </w:rPr>
        <w:t>.</w:t>
      </w:r>
    </w:p>
    <w:p w14:paraId="3AF47004" w14:textId="77777777" w:rsidR="00610BB0" w:rsidRPr="00CE219D" w:rsidRDefault="00E529E6"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Defendant </w:t>
      </w:r>
      <w:r w:rsidR="001219BA" w:rsidRPr="00CE219D">
        <w:rPr>
          <w:rFonts w:ascii="Times New Roman" w:eastAsia="Times New Roman" w:hAnsi="Times New Roman" w:cs="Times New Roman"/>
          <w:sz w:val="24"/>
          <w:szCs w:val="24"/>
        </w:rPr>
        <w:t>Candy Kern-Fuller</w:t>
      </w:r>
      <w:r w:rsidRPr="00CE219D">
        <w:rPr>
          <w:rFonts w:ascii="Times New Roman" w:eastAsia="Times New Roman" w:hAnsi="Times New Roman" w:cs="Times New Roman"/>
          <w:sz w:val="24"/>
          <w:szCs w:val="24"/>
        </w:rPr>
        <w:t xml:space="preserve"> </w:t>
      </w:r>
      <w:bookmarkStart w:id="3" w:name="_Hlk29892048"/>
      <w:r w:rsidR="004E1100" w:rsidRPr="00CE219D">
        <w:rPr>
          <w:rFonts w:ascii="Times New Roman" w:eastAsia="Times New Roman" w:hAnsi="Times New Roman" w:cs="Times New Roman"/>
          <w:sz w:val="24"/>
          <w:szCs w:val="24"/>
        </w:rPr>
        <w:t xml:space="preserve">engaged in </w:t>
      </w:r>
      <w:r w:rsidR="005A772A" w:rsidRPr="00CE219D">
        <w:rPr>
          <w:rFonts w:ascii="Times New Roman" w:eastAsia="Times New Roman" w:hAnsi="Times New Roman" w:cs="Times New Roman"/>
          <w:sz w:val="24"/>
          <w:szCs w:val="24"/>
        </w:rPr>
        <w:t>offering or providing consumer</w:t>
      </w:r>
      <w:r w:rsidR="00646126" w:rsidRPr="00CE219D">
        <w:rPr>
          <w:rFonts w:ascii="Times New Roman" w:eastAsia="Times New Roman" w:hAnsi="Times New Roman" w:cs="Times New Roman"/>
          <w:sz w:val="24"/>
          <w:szCs w:val="24"/>
        </w:rPr>
        <w:t>-</w:t>
      </w:r>
      <w:r w:rsidR="005A772A" w:rsidRPr="00CE219D">
        <w:rPr>
          <w:rFonts w:ascii="Times New Roman" w:eastAsia="Times New Roman" w:hAnsi="Times New Roman" w:cs="Times New Roman"/>
          <w:sz w:val="24"/>
          <w:szCs w:val="24"/>
        </w:rPr>
        <w:t xml:space="preserve">financial products or services, including </w:t>
      </w:r>
      <w:r w:rsidR="00F36E3F" w:rsidRPr="00CE219D">
        <w:rPr>
          <w:rFonts w:ascii="Times New Roman" w:eastAsia="Times New Roman" w:hAnsi="Times New Roman" w:cs="Times New Roman"/>
          <w:sz w:val="24"/>
          <w:szCs w:val="24"/>
        </w:rPr>
        <w:t xml:space="preserve">by acting as a custodian of </w:t>
      </w:r>
      <w:r w:rsidR="009666D4" w:rsidRPr="00CE219D">
        <w:rPr>
          <w:rFonts w:ascii="Times New Roman" w:eastAsia="Times New Roman" w:hAnsi="Times New Roman" w:cs="Times New Roman"/>
          <w:sz w:val="24"/>
          <w:szCs w:val="24"/>
        </w:rPr>
        <w:t xml:space="preserve">consumer </w:t>
      </w:r>
      <w:r w:rsidR="00F36E3F" w:rsidRPr="00CE219D">
        <w:rPr>
          <w:rFonts w:ascii="Times New Roman" w:eastAsia="Times New Roman" w:hAnsi="Times New Roman" w:cs="Times New Roman"/>
          <w:sz w:val="24"/>
          <w:szCs w:val="24"/>
        </w:rPr>
        <w:t>funds, providing payment</w:t>
      </w:r>
      <w:r w:rsidR="008B56E4" w:rsidRPr="00CE219D">
        <w:rPr>
          <w:rFonts w:ascii="Times New Roman" w:eastAsia="Times New Roman" w:hAnsi="Times New Roman" w:cs="Times New Roman"/>
          <w:sz w:val="24"/>
          <w:szCs w:val="24"/>
        </w:rPr>
        <w:t>-processing services</w:t>
      </w:r>
      <w:r w:rsidR="00F36E3F" w:rsidRPr="00CE219D">
        <w:rPr>
          <w:rFonts w:ascii="Times New Roman" w:eastAsia="Times New Roman" w:hAnsi="Times New Roman" w:cs="Times New Roman"/>
          <w:sz w:val="24"/>
          <w:szCs w:val="24"/>
        </w:rPr>
        <w:t xml:space="preserve"> to a consumer by technological means, </w:t>
      </w:r>
      <w:r w:rsidR="009666D4" w:rsidRPr="00CE219D">
        <w:rPr>
          <w:rFonts w:ascii="Times New Roman" w:eastAsia="Times New Roman" w:hAnsi="Times New Roman" w:cs="Times New Roman"/>
          <w:sz w:val="24"/>
          <w:szCs w:val="24"/>
        </w:rPr>
        <w:t>and collecting debt related to a consumer</w:t>
      </w:r>
      <w:r w:rsidR="00646126" w:rsidRPr="00CE219D">
        <w:rPr>
          <w:rFonts w:ascii="Times New Roman" w:eastAsia="Times New Roman" w:hAnsi="Times New Roman" w:cs="Times New Roman"/>
          <w:sz w:val="24"/>
          <w:szCs w:val="24"/>
        </w:rPr>
        <w:t>-</w:t>
      </w:r>
      <w:r w:rsidR="009666D4" w:rsidRPr="00CE219D">
        <w:rPr>
          <w:rFonts w:ascii="Times New Roman" w:eastAsia="Times New Roman" w:hAnsi="Times New Roman" w:cs="Times New Roman"/>
          <w:sz w:val="24"/>
          <w:szCs w:val="24"/>
        </w:rPr>
        <w:t xml:space="preserve">financial product or service, </w:t>
      </w:r>
      <w:r w:rsidR="005A772A" w:rsidRPr="00CE219D">
        <w:rPr>
          <w:rFonts w:ascii="Times New Roman" w:eastAsia="Times New Roman" w:hAnsi="Times New Roman" w:cs="Times New Roman"/>
          <w:sz w:val="24"/>
          <w:szCs w:val="24"/>
        </w:rPr>
        <w:t>and is therefore a “covered person” under the CFPA. 12 U.S.C. § 5481(5)-(</w:t>
      </w:r>
      <w:r w:rsidR="00F36E3F" w:rsidRPr="00CE219D">
        <w:rPr>
          <w:rFonts w:ascii="Times New Roman" w:eastAsia="Times New Roman" w:hAnsi="Times New Roman" w:cs="Times New Roman"/>
          <w:sz w:val="24"/>
          <w:szCs w:val="24"/>
        </w:rPr>
        <w:t>6</w:t>
      </w:r>
      <w:r w:rsidR="005A772A" w:rsidRPr="00CE219D">
        <w:rPr>
          <w:rFonts w:ascii="Times New Roman" w:eastAsia="Times New Roman" w:hAnsi="Times New Roman" w:cs="Times New Roman"/>
          <w:sz w:val="24"/>
          <w:szCs w:val="24"/>
        </w:rPr>
        <w:t xml:space="preserve">), </w:t>
      </w:r>
      <w:r w:rsidR="00F36E3F" w:rsidRPr="00CE219D">
        <w:rPr>
          <w:rFonts w:ascii="Times New Roman" w:eastAsia="Times New Roman" w:hAnsi="Times New Roman" w:cs="Times New Roman"/>
          <w:sz w:val="24"/>
          <w:szCs w:val="24"/>
        </w:rPr>
        <w:t>(15)(A)(iv), (15)(A)(vii)</w:t>
      </w:r>
      <w:r w:rsidR="009666D4" w:rsidRPr="00CE219D">
        <w:rPr>
          <w:rFonts w:ascii="Times New Roman" w:eastAsia="Times New Roman" w:hAnsi="Times New Roman" w:cs="Times New Roman"/>
          <w:sz w:val="24"/>
          <w:szCs w:val="24"/>
        </w:rPr>
        <w:t>, (15)(A)(x)</w:t>
      </w:r>
      <w:r w:rsidR="00F36E3F" w:rsidRPr="00CE219D">
        <w:rPr>
          <w:rFonts w:ascii="Times New Roman" w:eastAsia="Times New Roman" w:hAnsi="Times New Roman" w:cs="Times New Roman"/>
          <w:sz w:val="24"/>
          <w:szCs w:val="24"/>
        </w:rPr>
        <w:t xml:space="preserve">. </w:t>
      </w:r>
      <w:bookmarkEnd w:id="3"/>
      <w:r w:rsidR="00F36E3F" w:rsidRPr="00CE219D">
        <w:rPr>
          <w:rFonts w:ascii="Times New Roman" w:eastAsia="Times New Roman" w:hAnsi="Times New Roman" w:cs="Times New Roman"/>
          <w:sz w:val="24"/>
          <w:szCs w:val="24"/>
        </w:rPr>
        <w:t xml:space="preserve">Kern-Fuller </w:t>
      </w:r>
      <w:r w:rsidR="001219BA" w:rsidRPr="00CE219D">
        <w:rPr>
          <w:rFonts w:ascii="Times New Roman" w:eastAsia="Times New Roman" w:hAnsi="Times New Roman" w:cs="Times New Roman"/>
          <w:sz w:val="24"/>
          <w:szCs w:val="24"/>
        </w:rPr>
        <w:t>is</w:t>
      </w:r>
      <w:r w:rsidR="00F36E3F" w:rsidRPr="00CE219D">
        <w:rPr>
          <w:rFonts w:ascii="Times New Roman" w:eastAsia="Times New Roman" w:hAnsi="Times New Roman" w:cs="Times New Roman"/>
          <w:sz w:val="24"/>
          <w:szCs w:val="24"/>
        </w:rPr>
        <w:t xml:space="preserve"> also</w:t>
      </w:r>
      <w:r w:rsidR="001219BA" w:rsidRPr="00CE219D">
        <w:rPr>
          <w:rFonts w:ascii="Times New Roman" w:eastAsia="Times New Roman" w:hAnsi="Times New Roman" w:cs="Times New Roman"/>
          <w:sz w:val="24"/>
          <w:szCs w:val="24"/>
        </w:rPr>
        <w:t xml:space="preserve"> a managing partner and owner of ULG. </w:t>
      </w:r>
      <w:r w:rsidR="000455D3" w:rsidRPr="00CE219D">
        <w:rPr>
          <w:rFonts w:ascii="Times New Roman" w:eastAsia="Times New Roman" w:hAnsi="Times New Roman" w:cs="Times New Roman"/>
          <w:sz w:val="24"/>
          <w:szCs w:val="24"/>
        </w:rPr>
        <w:t>She ha</w:t>
      </w:r>
      <w:r w:rsidR="001219BA" w:rsidRPr="00CE219D">
        <w:rPr>
          <w:rFonts w:ascii="Times New Roman" w:eastAsia="Times New Roman" w:hAnsi="Times New Roman" w:cs="Times New Roman"/>
          <w:sz w:val="24"/>
          <w:szCs w:val="24"/>
        </w:rPr>
        <w:t>s</w:t>
      </w:r>
      <w:r w:rsidR="000455D3" w:rsidRPr="00CE219D">
        <w:rPr>
          <w:rFonts w:ascii="Times New Roman" w:eastAsia="Times New Roman" w:hAnsi="Times New Roman" w:cs="Times New Roman"/>
          <w:sz w:val="24"/>
          <w:szCs w:val="24"/>
        </w:rPr>
        <w:t xml:space="preserve"> managerial responsibility for </w:t>
      </w:r>
      <w:r w:rsidR="001219BA" w:rsidRPr="00CE219D">
        <w:rPr>
          <w:rFonts w:ascii="Times New Roman" w:eastAsia="Times New Roman" w:hAnsi="Times New Roman" w:cs="Times New Roman"/>
          <w:sz w:val="24"/>
          <w:szCs w:val="24"/>
        </w:rPr>
        <w:t>ULG and materially participates</w:t>
      </w:r>
      <w:r w:rsidR="000455D3" w:rsidRPr="00CE219D">
        <w:rPr>
          <w:rFonts w:ascii="Times New Roman" w:eastAsia="Times New Roman" w:hAnsi="Times New Roman" w:cs="Times New Roman"/>
          <w:sz w:val="24"/>
          <w:szCs w:val="24"/>
        </w:rPr>
        <w:t xml:space="preserve"> in the conduct of </w:t>
      </w:r>
      <w:r w:rsidR="001219BA" w:rsidRPr="00CE219D">
        <w:rPr>
          <w:rFonts w:ascii="Times New Roman" w:eastAsia="Times New Roman" w:hAnsi="Times New Roman" w:cs="Times New Roman"/>
          <w:sz w:val="24"/>
          <w:szCs w:val="24"/>
        </w:rPr>
        <w:t>ULG’s</w:t>
      </w:r>
      <w:r w:rsidR="000455D3" w:rsidRPr="00CE219D">
        <w:rPr>
          <w:rFonts w:ascii="Times New Roman" w:eastAsia="Times New Roman" w:hAnsi="Times New Roman" w:cs="Times New Roman"/>
          <w:sz w:val="24"/>
          <w:szCs w:val="24"/>
        </w:rPr>
        <w:t xml:space="preserve"> affairs. </w:t>
      </w:r>
      <w:r w:rsidR="001219BA" w:rsidRPr="00CE219D">
        <w:rPr>
          <w:rFonts w:ascii="Times New Roman" w:eastAsia="Times New Roman" w:hAnsi="Times New Roman" w:cs="Times New Roman"/>
          <w:sz w:val="24"/>
          <w:szCs w:val="24"/>
        </w:rPr>
        <w:t>Kern-Fuller</w:t>
      </w:r>
      <w:r w:rsidR="003C3C37" w:rsidRPr="00CE219D">
        <w:rPr>
          <w:rFonts w:ascii="Times New Roman" w:eastAsia="Times New Roman" w:hAnsi="Times New Roman" w:cs="Times New Roman"/>
          <w:sz w:val="24"/>
          <w:szCs w:val="24"/>
        </w:rPr>
        <w:t xml:space="preserve"> is</w:t>
      </w:r>
      <w:r w:rsidR="00764CDE" w:rsidRPr="00CE219D">
        <w:rPr>
          <w:rFonts w:ascii="Times New Roman" w:eastAsia="Times New Roman" w:hAnsi="Times New Roman" w:cs="Times New Roman"/>
          <w:sz w:val="24"/>
          <w:szCs w:val="24"/>
        </w:rPr>
        <w:t xml:space="preserve"> </w:t>
      </w:r>
      <w:r w:rsidR="00362C9F" w:rsidRPr="00CE219D">
        <w:rPr>
          <w:rFonts w:ascii="Times New Roman" w:eastAsia="Times New Roman" w:hAnsi="Times New Roman" w:cs="Times New Roman"/>
          <w:sz w:val="24"/>
          <w:szCs w:val="24"/>
        </w:rPr>
        <w:t xml:space="preserve">therefore </w:t>
      </w:r>
      <w:r w:rsidR="003C3C37" w:rsidRPr="00CE219D">
        <w:rPr>
          <w:rFonts w:ascii="Times New Roman" w:eastAsia="Times New Roman" w:hAnsi="Times New Roman" w:cs="Times New Roman"/>
          <w:sz w:val="24"/>
          <w:szCs w:val="24"/>
        </w:rPr>
        <w:t xml:space="preserve">a </w:t>
      </w:r>
      <w:r w:rsidR="00FE28EA" w:rsidRPr="00CE219D">
        <w:rPr>
          <w:rFonts w:ascii="Times New Roman" w:eastAsia="Times New Roman" w:hAnsi="Times New Roman" w:cs="Times New Roman"/>
          <w:sz w:val="24"/>
          <w:szCs w:val="24"/>
        </w:rPr>
        <w:t>“related person”</w:t>
      </w:r>
      <w:r w:rsidR="000455D3" w:rsidRPr="00CE219D">
        <w:rPr>
          <w:rFonts w:ascii="Times New Roman" w:eastAsia="Times New Roman" w:hAnsi="Times New Roman" w:cs="Times New Roman"/>
          <w:sz w:val="24"/>
          <w:szCs w:val="24"/>
        </w:rPr>
        <w:t xml:space="preserve"> under the CFPA,</w:t>
      </w:r>
      <w:r w:rsidR="003F3337" w:rsidRPr="00CE219D">
        <w:rPr>
          <w:rFonts w:ascii="Times New Roman" w:eastAsia="Times New Roman" w:hAnsi="Times New Roman" w:cs="Times New Roman"/>
          <w:sz w:val="24"/>
          <w:szCs w:val="24"/>
        </w:rPr>
        <w:t xml:space="preserve"> 12 U.S.C. § 5481</w:t>
      </w:r>
      <w:r w:rsidR="00080380" w:rsidRPr="00CE219D">
        <w:rPr>
          <w:rFonts w:ascii="Times New Roman" w:eastAsia="Times New Roman" w:hAnsi="Times New Roman" w:cs="Times New Roman"/>
          <w:sz w:val="24"/>
          <w:szCs w:val="24"/>
        </w:rPr>
        <w:t>(25)</w:t>
      </w:r>
      <w:r w:rsidR="003F3337" w:rsidRPr="00CE219D">
        <w:rPr>
          <w:rFonts w:ascii="Times New Roman" w:eastAsia="Times New Roman" w:hAnsi="Times New Roman" w:cs="Times New Roman"/>
          <w:sz w:val="24"/>
          <w:szCs w:val="24"/>
        </w:rPr>
        <w:t>(C)(i), (ii),</w:t>
      </w:r>
      <w:r w:rsidR="00FE28EA" w:rsidRPr="00CE219D">
        <w:rPr>
          <w:rFonts w:ascii="Times New Roman" w:eastAsia="Times New Roman" w:hAnsi="Times New Roman" w:cs="Times New Roman"/>
          <w:sz w:val="24"/>
          <w:szCs w:val="24"/>
        </w:rPr>
        <w:t xml:space="preserve"> and </w:t>
      </w:r>
      <w:r w:rsidR="003C1AAF" w:rsidRPr="00CE219D">
        <w:rPr>
          <w:rFonts w:ascii="Times New Roman" w:eastAsia="Times New Roman" w:hAnsi="Times New Roman" w:cs="Times New Roman"/>
          <w:sz w:val="24"/>
          <w:szCs w:val="24"/>
        </w:rPr>
        <w:t xml:space="preserve">is </w:t>
      </w:r>
      <w:r w:rsidR="00FE28EA" w:rsidRPr="00CE219D">
        <w:rPr>
          <w:rFonts w:ascii="Times New Roman" w:eastAsia="Times New Roman" w:hAnsi="Times New Roman" w:cs="Times New Roman"/>
          <w:sz w:val="24"/>
          <w:szCs w:val="24"/>
        </w:rPr>
        <w:t>thus</w:t>
      </w:r>
      <w:r w:rsidR="003F3337" w:rsidRPr="00CE219D">
        <w:rPr>
          <w:rFonts w:ascii="Times New Roman" w:eastAsia="Times New Roman" w:hAnsi="Times New Roman" w:cs="Times New Roman"/>
          <w:sz w:val="24"/>
          <w:szCs w:val="24"/>
        </w:rPr>
        <w:t xml:space="preserve"> deemed</w:t>
      </w:r>
      <w:r w:rsidR="00FE28EA" w:rsidRPr="00CE219D">
        <w:rPr>
          <w:rFonts w:ascii="Times New Roman" w:eastAsia="Times New Roman" w:hAnsi="Times New Roman" w:cs="Times New Roman"/>
          <w:sz w:val="24"/>
          <w:szCs w:val="24"/>
        </w:rPr>
        <w:t xml:space="preserve"> a </w:t>
      </w:r>
      <w:r w:rsidR="00362C9F" w:rsidRPr="00CE219D">
        <w:rPr>
          <w:rFonts w:ascii="Times New Roman" w:eastAsia="Times New Roman" w:hAnsi="Times New Roman" w:cs="Times New Roman"/>
          <w:sz w:val="24"/>
          <w:szCs w:val="24"/>
        </w:rPr>
        <w:t>“covered person” under the CFPA. 12 U.S.C. § 5481</w:t>
      </w:r>
      <w:r w:rsidR="00FE28EA" w:rsidRPr="00CE219D">
        <w:rPr>
          <w:rFonts w:ascii="Times New Roman" w:eastAsia="Times New Roman" w:hAnsi="Times New Roman" w:cs="Times New Roman"/>
          <w:sz w:val="24"/>
          <w:szCs w:val="24"/>
        </w:rPr>
        <w:t>(25)</w:t>
      </w:r>
      <w:r w:rsidR="003F3337" w:rsidRPr="00CE219D">
        <w:rPr>
          <w:rFonts w:ascii="Times New Roman" w:eastAsia="Times New Roman" w:hAnsi="Times New Roman" w:cs="Times New Roman"/>
          <w:sz w:val="24"/>
          <w:szCs w:val="24"/>
        </w:rPr>
        <w:t>(B)</w:t>
      </w:r>
      <w:r w:rsidR="00FE28EA" w:rsidRPr="00CE219D">
        <w:rPr>
          <w:rFonts w:ascii="Times New Roman" w:eastAsia="Times New Roman" w:hAnsi="Times New Roman" w:cs="Times New Roman"/>
          <w:sz w:val="24"/>
          <w:szCs w:val="24"/>
        </w:rPr>
        <w:t>.</w:t>
      </w:r>
      <w:r w:rsidR="001219BA" w:rsidRPr="00CE219D">
        <w:rPr>
          <w:rFonts w:ascii="Times New Roman" w:eastAsia="Times New Roman" w:hAnsi="Times New Roman" w:cs="Times New Roman"/>
          <w:sz w:val="24"/>
          <w:szCs w:val="24"/>
        </w:rPr>
        <w:t xml:space="preserve"> Kern-Fuller also provided substantial assistance to covered persons </w:t>
      </w:r>
      <w:r w:rsidR="002E0922" w:rsidRPr="00CE219D">
        <w:rPr>
          <w:rFonts w:ascii="Times New Roman" w:eastAsia="Times New Roman" w:hAnsi="Times New Roman" w:cs="Times New Roman"/>
          <w:sz w:val="24"/>
          <w:szCs w:val="24"/>
        </w:rPr>
        <w:t>engaged in brokering ext</w:t>
      </w:r>
      <w:r w:rsidR="00A0727C" w:rsidRPr="00CE219D">
        <w:rPr>
          <w:rFonts w:ascii="Times New Roman" w:eastAsia="Times New Roman" w:hAnsi="Times New Roman" w:cs="Times New Roman"/>
          <w:sz w:val="24"/>
          <w:szCs w:val="24"/>
        </w:rPr>
        <w:t>ensions of credit to consumers.</w:t>
      </w:r>
      <w:r w:rsidR="002E0922" w:rsidRPr="00CE219D">
        <w:rPr>
          <w:rFonts w:ascii="Times New Roman" w:eastAsia="Times New Roman" w:hAnsi="Times New Roman" w:cs="Times New Roman"/>
          <w:sz w:val="24"/>
          <w:szCs w:val="24"/>
        </w:rPr>
        <w:t xml:space="preserve"> </w:t>
      </w:r>
      <w:r w:rsidR="003A3B3B" w:rsidRPr="00CE219D">
        <w:rPr>
          <w:rFonts w:ascii="Times New Roman" w:eastAsia="Times New Roman" w:hAnsi="Times New Roman" w:cs="Times New Roman"/>
          <w:sz w:val="24"/>
          <w:szCs w:val="24"/>
        </w:rPr>
        <w:t>12 U.S.C. § 5536(A)(3).</w:t>
      </w:r>
    </w:p>
    <w:p w14:paraId="4E7A1534" w14:textId="77777777" w:rsidR="002E0922" w:rsidRPr="00CE219D" w:rsidRDefault="002E0922"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Defendant Howard Sutter III </w:t>
      </w:r>
      <w:r w:rsidR="009666D4" w:rsidRPr="00CE219D">
        <w:rPr>
          <w:rFonts w:ascii="Times New Roman" w:eastAsia="Times New Roman" w:hAnsi="Times New Roman" w:cs="Times New Roman"/>
          <w:sz w:val="24"/>
          <w:szCs w:val="24"/>
        </w:rPr>
        <w:t>engaged in offering or providing consumer</w:t>
      </w:r>
      <w:r w:rsidR="00646126" w:rsidRPr="00CE219D">
        <w:rPr>
          <w:rFonts w:ascii="Times New Roman" w:eastAsia="Times New Roman" w:hAnsi="Times New Roman" w:cs="Times New Roman"/>
          <w:sz w:val="24"/>
          <w:szCs w:val="24"/>
        </w:rPr>
        <w:t>-</w:t>
      </w:r>
      <w:r w:rsidR="009666D4" w:rsidRPr="00CE219D">
        <w:rPr>
          <w:rFonts w:ascii="Times New Roman" w:eastAsia="Times New Roman" w:hAnsi="Times New Roman" w:cs="Times New Roman"/>
          <w:sz w:val="24"/>
          <w:szCs w:val="24"/>
        </w:rPr>
        <w:t>financial products or services, including by acting as a custodian of consumer funds, providing payment</w:t>
      </w:r>
      <w:r w:rsidR="008B56E4" w:rsidRPr="00CE219D">
        <w:rPr>
          <w:rFonts w:ascii="Times New Roman" w:eastAsia="Times New Roman" w:hAnsi="Times New Roman" w:cs="Times New Roman"/>
          <w:sz w:val="24"/>
          <w:szCs w:val="24"/>
        </w:rPr>
        <w:t>-processing service</w:t>
      </w:r>
      <w:r w:rsidR="009666D4" w:rsidRPr="00CE219D">
        <w:rPr>
          <w:rFonts w:ascii="Times New Roman" w:eastAsia="Times New Roman" w:hAnsi="Times New Roman" w:cs="Times New Roman"/>
          <w:sz w:val="24"/>
          <w:szCs w:val="24"/>
        </w:rPr>
        <w:t>s to a consumer by technological means, and collecting debt related to a consumer</w:t>
      </w:r>
      <w:r w:rsidR="00646126" w:rsidRPr="00CE219D">
        <w:rPr>
          <w:rFonts w:ascii="Times New Roman" w:eastAsia="Times New Roman" w:hAnsi="Times New Roman" w:cs="Times New Roman"/>
          <w:sz w:val="24"/>
          <w:szCs w:val="24"/>
        </w:rPr>
        <w:t>-</w:t>
      </w:r>
      <w:r w:rsidR="009666D4" w:rsidRPr="00CE219D">
        <w:rPr>
          <w:rFonts w:ascii="Times New Roman" w:eastAsia="Times New Roman" w:hAnsi="Times New Roman" w:cs="Times New Roman"/>
          <w:sz w:val="24"/>
          <w:szCs w:val="24"/>
        </w:rPr>
        <w:t xml:space="preserve">financial product or service, and is therefore a “covered person” under the CFPA. 12 U.S.C. § 5481(5)-(6), (15)(A)(iv), (15)(A)(vii), (15)(A)(x). Sutter </w:t>
      </w:r>
      <w:r w:rsidR="00FE57C3" w:rsidRPr="00CE219D">
        <w:rPr>
          <w:rFonts w:ascii="Times New Roman" w:eastAsia="Times New Roman" w:hAnsi="Times New Roman" w:cs="Times New Roman"/>
          <w:sz w:val="24"/>
          <w:szCs w:val="24"/>
        </w:rPr>
        <w:t>was</w:t>
      </w:r>
      <w:r w:rsidR="009666D4" w:rsidRPr="00CE219D">
        <w:rPr>
          <w:rFonts w:ascii="Times New Roman" w:eastAsia="Times New Roman" w:hAnsi="Times New Roman" w:cs="Times New Roman"/>
          <w:sz w:val="24"/>
          <w:szCs w:val="24"/>
        </w:rPr>
        <w:t xml:space="preserve"> also</w:t>
      </w:r>
      <w:r w:rsidR="00FE57C3" w:rsidRPr="00CE219D">
        <w:rPr>
          <w:rFonts w:ascii="Times New Roman" w:eastAsia="Times New Roman" w:hAnsi="Times New Roman" w:cs="Times New Roman"/>
          <w:sz w:val="24"/>
          <w:szCs w:val="24"/>
        </w:rPr>
        <w:t xml:space="preserve"> </w:t>
      </w:r>
      <w:r w:rsidRPr="00CE219D">
        <w:rPr>
          <w:rFonts w:ascii="Times New Roman" w:eastAsia="Times New Roman" w:hAnsi="Times New Roman" w:cs="Times New Roman"/>
          <w:sz w:val="24"/>
          <w:szCs w:val="24"/>
        </w:rPr>
        <w:t xml:space="preserve">a managing partner </w:t>
      </w:r>
      <w:r w:rsidR="00634A47" w:rsidRPr="00CE219D">
        <w:rPr>
          <w:rFonts w:ascii="Times New Roman" w:eastAsia="Times New Roman" w:hAnsi="Times New Roman" w:cs="Times New Roman"/>
          <w:sz w:val="24"/>
          <w:szCs w:val="24"/>
        </w:rPr>
        <w:t xml:space="preserve">and owner </w:t>
      </w:r>
      <w:r w:rsidRPr="00CE219D">
        <w:rPr>
          <w:rFonts w:ascii="Times New Roman" w:eastAsia="Times New Roman" w:hAnsi="Times New Roman" w:cs="Times New Roman"/>
          <w:sz w:val="24"/>
          <w:szCs w:val="24"/>
        </w:rPr>
        <w:t>of ULG</w:t>
      </w:r>
      <w:r w:rsidR="006A102E" w:rsidRPr="00CE219D">
        <w:rPr>
          <w:rFonts w:ascii="Times New Roman" w:eastAsia="Times New Roman" w:hAnsi="Times New Roman" w:cs="Times New Roman"/>
          <w:sz w:val="24"/>
          <w:szCs w:val="24"/>
        </w:rPr>
        <w:t xml:space="preserve"> until </w:t>
      </w:r>
      <w:r w:rsidR="00A37B0F" w:rsidRPr="00CE219D">
        <w:rPr>
          <w:rFonts w:ascii="Times New Roman" w:eastAsia="Times New Roman" w:hAnsi="Times New Roman" w:cs="Times New Roman"/>
          <w:sz w:val="24"/>
          <w:szCs w:val="24"/>
        </w:rPr>
        <w:t xml:space="preserve">at least </w:t>
      </w:r>
      <w:r w:rsidR="006A102E" w:rsidRPr="00CE219D">
        <w:rPr>
          <w:rFonts w:ascii="Times New Roman" w:eastAsia="Times New Roman" w:hAnsi="Times New Roman" w:cs="Times New Roman"/>
          <w:sz w:val="24"/>
          <w:szCs w:val="24"/>
        </w:rPr>
        <w:t>November 2019</w:t>
      </w:r>
      <w:r w:rsidRPr="00CE219D">
        <w:rPr>
          <w:rFonts w:ascii="Times New Roman" w:eastAsia="Times New Roman" w:hAnsi="Times New Roman" w:cs="Times New Roman"/>
          <w:sz w:val="24"/>
          <w:szCs w:val="24"/>
        </w:rPr>
        <w:t>. He ha</w:t>
      </w:r>
      <w:r w:rsidR="006A102E" w:rsidRPr="00CE219D">
        <w:rPr>
          <w:rFonts w:ascii="Times New Roman" w:eastAsia="Times New Roman" w:hAnsi="Times New Roman" w:cs="Times New Roman"/>
          <w:sz w:val="24"/>
          <w:szCs w:val="24"/>
        </w:rPr>
        <w:t>d</w:t>
      </w:r>
      <w:r w:rsidRPr="00CE219D">
        <w:rPr>
          <w:rFonts w:ascii="Times New Roman" w:eastAsia="Times New Roman" w:hAnsi="Times New Roman" w:cs="Times New Roman"/>
          <w:sz w:val="24"/>
          <w:szCs w:val="24"/>
        </w:rPr>
        <w:t xml:space="preserve"> managerial responsibility for ULG and materially participate</w:t>
      </w:r>
      <w:r w:rsidR="006A102E" w:rsidRPr="00CE219D">
        <w:rPr>
          <w:rFonts w:ascii="Times New Roman" w:eastAsia="Times New Roman" w:hAnsi="Times New Roman" w:cs="Times New Roman"/>
          <w:sz w:val="24"/>
          <w:szCs w:val="24"/>
        </w:rPr>
        <w:t>d</w:t>
      </w:r>
      <w:r w:rsidRPr="00CE219D">
        <w:rPr>
          <w:rFonts w:ascii="Times New Roman" w:eastAsia="Times New Roman" w:hAnsi="Times New Roman" w:cs="Times New Roman"/>
          <w:sz w:val="24"/>
          <w:szCs w:val="24"/>
        </w:rPr>
        <w:t xml:space="preserve"> in the conduct of ULG’s affairs. Sutter is therefore a “related person” under the CFPA, 12 U.S.C. § 5481</w:t>
      </w:r>
      <w:r w:rsidR="00080380" w:rsidRPr="00CE219D">
        <w:rPr>
          <w:rFonts w:ascii="Times New Roman" w:eastAsia="Times New Roman" w:hAnsi="Times New Roman" w:cs="Times New Roman"/>
          <w:sz w:val="24"/>
          <w:szCs w:val="24"/>
        </w:rPr>
        <w:t>(25)</w:t>
      </w:r>
      <w:r w:rsidRPr="00CE219D">
        <w:rPr>
          <w:rFonts w:ascii="Times New Roman" w:eastAsia="Times New Roman" w:hAnsi="Times New Roman" w:cs="Times New Roman"/>
          <w:sz w:val="24"/>
          <w:szCs w:val="24"/>
        </w:rPr>
        <w:t xml:space="preserve">(C)(i), (ii), and </w:t>
      </w:r>
      <w:r w:rsidR="003C1AAF" w:rsidRPr="00CE219D">
        <w:rPr>
          <w:rFonts w:ascii="Times New Roman" w:eastAsia="Times New Roman" w:hAnsi="Times New Roman" w:cs="Times New Roman"/>
          <w:sz w:val="24"/>
          <w:szCs w:val="24"/>
        </w:rPr>
        <w:t xml:space="preserve">is </w:t>
      </w:r>
      <w:r w:rsidRPr="00CE219D">
        <w:rPr>
          <w:rFonts w:ascii="Times New Roman" w:eastAsia="Times New Roman" w:hAnsi="Times New Roman" w:cs="Times New Roman"/>
          <w:sz w:val="24"/>
          <w:szCs w:val="24"/>
        </w:rPr>
        <w:t>thus deemed a “covered person” under the CFPA. 12 U.S.C. § 5481(25)(B). Sutter also provided substantial assistance to covered persons engaged in brokering ext</w:t>
      </w:r>
      <w:r w:rsidR="00494C65" w:rsidRPr="00CE219D">
        <w:rPr>
          <w:rFonts w:ascii="Times New Roman" w:eastAsia="Times New Roman" w:hAnsi="Times New Roman" w:cs="Times New Roman"/>
          <w:sz w:val="24"/>
          <w:szCs w:val="24"/>
        </w:rPr>
        <w:t>ensions of credit to consumers.</w:t>
      </w:r>
      <w:r w:rsidR="003A3B3B" w:rsidRPr="00CE219D">
        <w:rPr>
          <w:rFonts w:ascii="Times New Roman" w:eastAsia="Times New Roman" w:hAnsi="Times New Roman" w:cs="Times New Roman"/>
          <w:sz w:val="24"/>
          <w:szCs w:val="24"/>
        </w:rPr>
        <w:t xml:space="preserve"> 12 U.S.C. §</w:t>
      </w:r>
      <w:r w:rsidR="00DE74C1" w:rsidRPr="00CE219D">
        <w:rPr>
          <w:rFonts w:ascii="Times New Roman" w:eastAsia="Times New Roman" w:hAnsi="Times New Roman" w:cs="Times New Roman"/>
          <w:sz w:val="24"/>
          <w:szCs w:val="24"/>
        </w:rPr>
        <w:t> </w:t>
      </w:r>
      <w:r w:rsidR="003A3B3B" w:rsidRPr="00CE219D">
        <w:rPr>
          <w:rFonts w:ascii="Times New Roman" w:eastAsia="Times New Roman" w:hAnsi="Times New Roman" w:cs="Times New Roman"/>
          <w:sz w:val="24"/>
          <w:szCs w:val="24"/>
        </w:rPr>
        <w:t>5536(A)(3).</w:t>
      </w:r>
    </w:p>
    <w:p w14:paraId="3C8C5E3B" w14:textId="77777777" w:rsidR="00B0536D" w:rsidRPr="00CE219D" w:rsidRDefault="00B0536D" w:rsidP="00CE219D">
      <w:pPr>
        <w:spacing w:after="0" w:line="240" w:lineRule="auto"/>
        <w:ind w:firstLine="720"/>
        <w:jc w:val="center"/>
        <w:rPr>
          <w:rFonts w:ascii="Times New Roman" w:eastAsia="Times New Roman" w:hAnsi="Times New Roman" w:cs="Times New Roman"/>
          <w:b/>
          <w:sz w:val="24"/>
          <w:szCs w:val="24"/>
        </w:rPr>
      </w:pPr>
    </w:p>
    <w:p w14:paraId="7007DE50" w14:textId="77777777" w:rsidR="00362C9F" w:rsidRPr="00CE219D" w:rsidRDefault="00362C9F" w:rsidP="006458B5">
      <w:pPr>
        <w:keepNext/>
        <w:spacing w:after="0" w:line="480" w:lineRule="auto"/>
        <w:jc w:val="center"/>
        <w:rPr>
          <w:rFonts w:ascii="Times New Roman" w:eastAsia="Times New Roman" w:hAnsi="Times New Roman" w:cs="Times New Roman"/>
          <w:b/>
          <w:sz w:val="24"/>
          <w:szCs w:val="24"/>
        </w:rPr>
      </w:pPr>
      <w:r w:rsidRPr="00CE219D">
        <w:rPr>
          <w:rFonts w:ascii="Times New Roman" w:eastAsia="Times New Roman" w:hAnsi="Times New Roman" w:cs="Times New Roman"/>
          <w:b/>
          <w:sz w:val="24"/>
          <w:szCs w:val="24"/>
        </w:rPr>
        <w:t>Factual Background</w:t>
      </w:r>
    </w:p>
    <w:p w14:paraId="78E89DF1" w14:textId="77777777" w:rsidR="009B5AC7" w:rsidRPr="00CE219D" w:rsidRDefault="00775D72"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In 2012, </w:t>
      </w:r>
      <w:r w:rsidR="009C6DC5" w:rsidRPr="00CE219D">
        <w:rPr>
          <w:rFonts w:ascii="Times New Roman" w:eastAsia="Times New Roman" w:hAnsi="Times New Roman" w:cs="Times New Roman"/>
          <w:sz w:val="24"/>
          <w:szCs w:val="24"/>
        </w:rPr>
        <w:t xml:space="preserve">Defendants </w:t>
      </w:r>
      <w:r w:rsidRPr="00CE219D">
        <w:rPr>
          <w:rFonts w:ascii="Times New Roman" w:eastAsia="Times New Roman" w:hAnsi="Times New Roman" w:cs="Times New Roman"/>
          <w:sz w:val="24"/>
          <w:szCs w:val="24"/>
        </w:rPr>
        <w:t>began</w:t>
      </w:r>
      <w:r w:rsidR="009C6DC5" w:rsidRPr="00CE219D">
        <w:rPr>
          <w:rFonts w:ascii="Times New Roman" w:eastAsia="Times New Roman" w:hAnsi="Times New Roman" w:cs="Times New Roman"/>
          <w:sz w:val="24"/>
          <w:szCs w:val="24"/>
        </w:rPr>
        <w:t xml:space="preserve"> working with </w:t>
      </w:r>
      <w:r w:rsidRPr="00CE219D">
        <w:rPr>
          <w:rFonts w:ascii="Times New Roman" w:eastAsia="Times New Roman" w:hAnsi="Times New Roman" w:cs="Times New Roman"/>
          <w:sz w:val="24"/>
          <w:szCs w:val="24"/>
        </w:rPr>
        <w:t>a series of companies that brokered contracts offering high-interest credit to consumers</w:t>
      </w:r>
      <w:r w:rsidR="00FC629F" w:rsidRPr="00CE219D">
        <w:rPr>
          <w:rFonts w:ascii="Times New Roman" w:eastAsia="Times New Roman" w:hAnsi="Times New Roman" w:cs="Times New Roman"/>
          <w:sz w:val="24"/>
          <w:szCs w:val="24"/>
        </w:rPr>
        <w:t xml:space="preserve">, primarily </w:t>
      </w:r>
      <w:r w:rsidR="009B5AC7" w:rsidRPr="00CE219D">
        <w:rPr>
          <w:rFonts w:ascii="Times New Roman" w:eastAsia="Times New Roman" w:hAnsi="Times New Roman" w:cs="Times New Roman"/>
          <w:sz w:val="24"/>
          <w:szCs w:val="24"/>
        </w:rPr>
        <w:t xml:space="preserve">disabled </w:t>
      </w:r>
      <w:r w:rsidR="00FC629F" w:rsidRPr="00CE219D">
        <w:rPr>
          <w:rFonts w:ascii="Times New Roman" w:eastAsia="Times New Roman" w:hAnsi="Times New Roman" w:cs="Times New Roman"/>
          <w:sz w:val="24"/>
          <w:szCs w:val="24"/>
        </w:rPr>
        <w:t>veterans</w:t>
      </w:r>
      <w:r w:rsidR="009B5AC7" w:rsidRPr="00CE219D">
        <w:rPr>
          <w:rFonts w:ascii="Times New Roman" w:eastAsia="Times New Roman" w:hAnsi="Times New Roman" w:cs="Times New Roman"/>
          <w:sz w:val="24"/>
          <w:szCs w:val="24"/>
        </w:rPr>
        <w:t xml:space="preserve">. </w:t>
      </w:r>
    </w:p>
    <w:p w14:paraId="0F00228F" w14:textId="5971DAB6" w:rsidR="00071FA1" w:rsidRPr="00CE219D" w:rsidRDefault="009B5AC7"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 xml:space="preserve">These companies were </w:t>
      </w:r>
      <w:r w:rsidR="00775D72" w:rsidRPr="00CE219D">
        <w:rPr>
          <w:rFonts w:ascii="Times New Roman" w:eastAsia="Times New Roman" w:hAnsi="Times New Roman" w:cs="Times New Roman"/>
          <w:sz w:val="24"/>
          <w:szCs w:val="24"/>
        </w:rPr>
        <w:t xml:space="preserve">Andrew Gamber’s </w:t>
      </w:r>
      <w:r w:rsidR="00844D1E" w:rsidRPr="00CE219D">
        <w:rPr>
          <w:rFonts w:ascii="Times New Roman" w:eastAsia="Times New Roman" w:hAnsi="Times New Roman" w:cs="Times New Roman"/>
          <w:sz w:val="24"/>
          <w:szCs w:val="24"/>
        </w:rPr>
        <w:t xml:space="preserve">Arkansas-based </w:t>
      </w:r>
      <w:r w:rsidR="00775D72" w:rsidRPr="00CE219D">
        <w:rPr>
          <w:rFonts w:ascii="Times New Roman" w:eastAsia="Times New Roman" w:hAnsi="Times New Roman" w:cs="Times New Roman"/>
          <w:sz w:val="24"/>
          <w:szCs w:val="24"/>
        </w:rPr>
        <w:t>companies</w:t>
      </w:r>
      <w:r w:rsidR="00155B79" w:rsidRPr="00CE219D">
        <w:rPr>
          <w:rFonts w:ascii="Times New Roman" w:eastAsia="Times New Roman" w:hAnsi="Times New Roman" w:cs="Times New Roman"/>
          <w:sz w:val="24"/>
          <w:szCs w:val="24"/>
        </w:rPr>
        <w:t>,</w:t>
      </w:r>
      <w:r w:rsidR="00775D72" w:rsidRPr="00CE219D">
        <w:rPr>
          <w:rFonts w:ascii="Times New Roman" w:eastAsia="Times New Roman" w:hAnsi="Times New Roman" w:cs="Times New Roman"/>
          <w:sz w:val="24"/>
          <w:szCs w:val="24"/>
        </w:rPr>
        <w:t xml:space="preserve"> Voyager Financial Group, LLC, BAIC, Inc., and SoBell Corp., Katharine Snyder’s </w:t>
      </w:r>
      <w:r w:rsidR="00FE2E3D" w:rsidRPr="00CE219D">
        <w:rPr>
          <w:rFonts w:ascii="Times New Roman" w:eastAsia="Times New Roman" w:hAnsi="Times New Roman" w:cs="Times New Roman"/>
          <w:sz w:val="24"/>
          <w:szCs w:val="24"/>
        </w:rPr>
        <w:t>Mississippi-based company</w:t>
      </w:r>
      <w:r w:rsidR="00155B79" w:rsidRPr="00CE219D">
        <w:rPr>
          <w:rFonts w:ascii="Times New Roman" w:eastAsia="Times New Roman" w:hAnsi="Times New Roman" w:cs="Times New Roman"/>
          <w:sz w:val="24"/>
          <w:szCs w:val="24"/>
        </w:rPr>
        <w:t>,</w:t>
      </w:r>
      <w:r w:rsidR="00775D72" w:rsidRPr="00CE219D">
        <w:rPr>
          <w:rFonts w:ascii="Times New Roman" w:eastAsia="Times New Roman" w:hAnsi="Times New Roman" w:cs="Times New Roman"/>
          <w:sz w:val="24"/>
          <w:szCs w:val="24"/>
        </w:rPr>
        <w:t xml:space="preserve"> Performance Arbitrage Company</w:t>
      </w:r>
      <w:r w:rsidR="00481F6C" w:rsidRPr="00CE219D">
        <w:rPr>
          <w:rFonts w:ascii="Times New Roman" w:eastAsia="Times New Roman" w:hAnsi="Times New Roman" w:cs="Times New Roman"/>
          <w:sz w:val="24"/>
          <w:szCs w:val="24"/>
        </w:rPr>
        <w:t>, Inc.</w:t>
      </w:r>
      <w:r w:rsidR="00155B79" w:rsidRPr="00CE219D">
        <w:rPr>
          <w:rFonts w:ascii="Times New Roman" w:eastAsia="Times New Roman" w:hAnsi="Times New Roman" w:cs="Times New Roman"/>
          <w:sz w:val="24"/>
          <w:szCs w:val="24"/>
        </w:rPr>
        <w:t xml:space="preserve">, </w:t>
      </w:r>
      <w:r w:rsidR="00775D72" w:rsidRPr="00CE219D">
        <w:rPr>
          <w:rFonts w:ascii="Times New Roman" w:eastAsia="Times New Roman" w:hAnsi="Times New Roman" w:cs="Times New Roman"/>
          <w:sz w:val="24"/>
          <w:szCs w:val="24"/>
        </w:rPr>
        <w:t xml:space="preserve">and </w:t>
      </w:r>
      <w:r w:rsidR="00155B79" w:rsidRPr="00CE219D">
        <w:rPr>
          <w:rFonts w:ascii="Times New Roman" w:eastAsia="Times New Roman" w:hAnsi="Times New Roman" w:cs="Times New Roman"/>
          <w:sz w:val="24"/>
          <w:szCs w:val="24"/>
        </w:rPr>
        <w:t xml:space="preserve">Katherine Snyder’s </w:t>
      </w:r>
      <w:r w:rsidR="00FE2E3D" w:rsidRPr="00CE219D">
        <w:rPr>
          <w:rFonts w:ascii="Times New Roman" w:eastAsia="Times New Roman" w:hAnsi="Times New Roman" w:cs="Times New Roman"/>
          <w:sz w:val="24"/>
          <w:szCs w:val="24"/>
        </w:rPr>
        <w:t>South Carolina-based company</w:t>
      </w:r>
      <w:r w:rsidR="00155B79" w:rsidRPr="00CE219D">
        <w:rPr>
          <w:rFonts w:ascii="Times New Roman" w:eastAsia="Times New Roman" w:hAnsi="Times New Roman" w:cs="Times New Roman"/>
          <w:sz w:val="24"/>
          <w:szCs w:val="24"/>
        </w:rPr>
        <w:t>,</w:t>
      </w:r>
      <w:r w:rsidR="00FE2E3D" w:rsidRPr="00CE219D">
        <w:rPr>
          <w:rFonts w:ascii="Times New Roman" w:eastAsia="Times New Roman" w:hAnsi="Times New Roman" w:cs="Times New Roman"/>
          <w:sz w:val="24"/>
          <w:szCs w:val="24"/>
        </w:rPr>
        <w:t xml:space="preserve"> </w:t>
      </w:r>
      <w:r w:rsidR="00775D72" w:rsidRPr="00CE219D">
        <w:rPr>
          <w:rFonts w:ascii="Times New Roman" w:eastAsia="Times New Roman" w:hAnsi="Times New Roman" w:cs="Times New Roman"/>
          <w:sz w:val="24"/>
          <w:szCs w:val="24"/>
        </w:rPr>
        <w:t>Life Funding Options</w:t>
      </w:r>
      <w:r w:rsidR="00481F6C" w:rsidRPr="00CE219D">
        <w:rPr>
          <w:rFonts w:ascii="Times New Roman" w:eastAsia="Times New Roman" w:hAnsi="Times New Roman" w:cs="Times New Roman"/>
          <w:sz w:val="24"/>
          <w:szCs w:val="24"/>
        </w:rPr>
        <w:t>, Inc.</w:t>
      </w:r>
      <w:r w:rsidR="00071FA1" w:rsidRPr="00CE219D">
        <w:rPr>
          <w:rFonts w:ascii="Times New Roman" w:eastAsia="Times New Roman" w:hAnsi="Times New Roman" w:cs="Times New Roman"/>
          <w:sz w:val="24"/>
          <w:szCs w:val="24"/>
        </w:rPr>
        <w:t xml:space="preserve"> (</w:t>
      </w:r>
      <w:r w:rsidR="00FC629F" w:rsidRPr="00CE219D">
        <w:rPr>
          <w:rFonts w:ascii="Times New Roman" w:eastAsia="Times New Roman" w:hAnsi="Times New Roman" w:cs="Times New Roman"/>
          <w:sz w:val="24"/>
          <w:szCs w:val="24"/>
        </w:rPr>
        <w:t xml:space="preserve">collectively, </w:t>
      </w:r>
      <w:r w:rsidR="00071FA1" w:rsidRPr="00CE219D">
        <w:rPr>
          <w:rFonts w:ascii="Times New Roman" w:eastAsia="Times New Roman" w:hAnsi="Times New Roman" w:cs="Times New Roman"/>
          <w:sz w:val="24"/>
          <w:szCs w:val="24"/>
        </w:rPr>
        <w:t xml:space="preserve">the Broker Companies). </w:t>
      </w:r>
    </w:p>
    <w:p w14:paraId="7113E67D" w14:textId="77125AC3" w:rsidR="00722E7C" w:rsidRPr="00CE219D" w:rsidRDefault="00722E7C">
      <w:pPr>
        <w:rPr>
          <w:rFonts w:ascii="Times New Roman" w:eastAsia="Times New Roman" w:hAnsi="Times New Roman" w:cs="Times New Roman"/>
          <w:b/>
          <w:sz w:val="24"/>
          <w:szCs w:val="24"/>
        </w:rPr>
      </w:pPr>
    </w:p>
    <w:p w14:paraId="492A2D67" w14:textId="328345A7" w:rsidR="00B02249" w:rsidRPr="00CE219D" w:rsidRDefault="00B02249" w:rsidP="005B5A9A">
      <w:pPr>
        <w:spacing w:after="0" w:line="480" w:lineRule="auto"/>
        <w:contextualSpacing/>
        <w:jc w:val="center"/>
        <w:rPr>
          <w:rFonts w:ascii="Times New Roman" w:eastAsia="Times New Roman" w:hAnsi="Times New Roman" w:cs="Times New Roman"/>
          <w:b/>
          <w:sz w:val="24"/>
          <w:szCs w:val="24"/>
        </w:rPr>
      </w:pPr>
      <w:r w:rsidRPr="00CE219D">
        <w:rPr>
          <w:rFonts w:ascii="Times New Roman" w:eastAsia="Times New Roman" w:hAnsi="Times New Roman" w:cs="Times New Roman"/>
          <w:b/>
          <w:sz w:val="24"/>
          <w:szCs w:val="24"/>
        </w:rPr>
        <w:t xml:space="preserve">The </w:t>
      </w:r>
      <w:r w:rsidR="0050511E" w:rsidRPr="00CE219D">
        <w:rPr>
          <w:rFonts w:ascii="Times New Roman" w:eastAsia="Times New Roman" w:hAnsi="Times New Roman" w:cs="Times New Roman"/>
          <w:b/>
          <w:sz w:val="24"/>
          <w:szCs w:val="24"/>
        </w:rPr>
        <w:t>Transactions</w:t>
      </w:r>
    </w:p>
    <w:p w14:paraId="721CA3E7" w14:textId="77777777" w:rsidR="00775D72" w:rsidRPr="00CE219D" w:rsidRDefault="00071FA1"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The Broker Companies marketed their credit offers as purchases of consumers’ future pension or disability payments.</w:t>
      </w:r>
    </w:p>
    <w:p w14:paraId="4FC8CCCD" w14:textId="39C52B96" w:rsidR="00362C9F" w:rsidRPr="00676949" w:rsidRDefault="001C211D"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CE219D">
        <w:rPr>
          <w:rFonts w:ascii="Times New Roman" w:eastAsia="Times New Roman" w:hAnsi="Times New Roman" w:cs="Times New Roman"/>
          <w:sz w:val="24"/>
          <w:szCs w:val="24"/>
        </w:rPr>
        <w:t>The Broker Companies</w:t>
      </w:r>
      <w:r w:rsidR="00D93ACD" w:rsidRPr="00CE219D">
        <w:rPr>
          <w:rFonts w:ascii="Times New Roman" w:eastAsia="Times New Roman" w:hAnsi="Times New Roman" w:cs="Times New Roman"/>
          <w:sz w:val="24"/>
          <w:szCs w:val="24"/>
        </w:rPr>
        <w:t xml:space="preserve"> set up contracts between </w:t>
      </w:r>
      <w:r w:rsidR="009A5F4E" w:rsidRPr="00CE219D">
        <w:rPr>
          <w:rFonts w:ascii="Times New Roman" w:eastAsia="Times New Roman" w:hAnsi="Times New Roman" w:cs="Times New Roman"/>
          <w:sz w:val="24"/>
          <w:szCs w:val="24"/>
        </w:rPr>
        <w:t xml:space="preserve">consumers </w:t>
      </w:r>
      <w:r w:rsidR="00D93ACD" w:rsidRPr="00CE219D">
        <w:rPr>
          <w:rFonts w:ascii="Times New Roman" w:eastAsia="Times New Roman" w:hAnsi="Times New Roman" w:cs="Times New Roman"/>
          <w:sz w:val="24"/>
          <w:szCs w:val="24"/>
        </w:rPr>
        <w:t xml:space="preserve">and investors where </w:t>
      </w:r>
      <w:r w:rsidR="009A5F4E" w:rsidRPr="00CE219D">
        <w:rPr>
          <w:rFonts w:ascii="Times New Roman" w:eastAsia="Times New Roman" w:hAnsi="Times New Roman" w:cs="Times New Roman"/>
          <w:sz w:val="24"/>
          <w:szCs w:val="24"/>
        </w:rPr>
        <w:t xml:space="preserve">consumers </w:t>
      </w:r>
      <w:r w:rsidR="00D93ACD" w:rsidRPr="00CE219D">
        <w:rPr>
          <w:rFonts w:ascii="Times New Roman" w:eastAsia="Times New Roman" w:hAnsi="Times New Roman" w:cs="Times New Roman"/>
          <w:sz w:val="24"/>
          <w:szCs w:val="24"/>
        </w:rPr>
        <w:t>receive</w:t>
      </w:r>
      <w:r w:rsidR="00CD6A95">
        <w:rPr>
          <w:rFonts w:ascii="Times New Roman" w:eastAsia="Times New Roman" w:hAnsi="Times New Roman" w:cs="Times New Roman"/>
          <w:sz w:val="24"/>
          <w:szCs w:val="24"/>
        </w:rPr>
        <w:t>d</w:t>
      </w:r>
      <w:r w:rsidR="00D93ACD" w:rsidRPr="00CE219D">
        <w:rPr>
          <w:rFonts w:ascii="Times New Roman" w:eastAsia="Times New Roman" w:hAnsi="Times New Roman" w:cs="Times New Roman"/>
          <w:sz w:val="24"/>
          <w:szCs w:val="24"/>
        </w:rPr>
        <w:t xml:space="preserve"> a lump-sum payment, ranging from a few thousand to tens of thousands of dollars, and</w:t>
      </w:r>
      <w:r w:rsidR="00407E26">
        <w:rPr>
          <w:rFonts w:ascii="Times New Roman" w:eastAsia="Times New Roman" w:hAnsi="Times New Roman" w:cs="Times New Roman"/>
          <w:sz w:val="24"/>
          <w:szCs w:val="24"/>
        </w:rPr>
        <w:t xml:space="preserve"> were</w:t>
      </w:r>
      <w:r w:rsidR="00D93ACD" w:rsidRPr="00CE219D">
        <w:rPr>
          <w:rFonts w:ascii="Times New Roman" w:eastAsia="Times New Roman" w:hAnsi="Times New Roman" w:cs="Times New Roman"/>
          <w:sz w:val="24"/>
          <w:szCs w:val="24"/>
        </w:rPr>
        <w:t xml:space="preserve"> thereafter obligated to repay a much larger amount by </w:t>
      </w:r>
      <w:r w:rsidR="000921BD" w:rsidRPr="00CE219D">
        <w:rPr>
          <w:rFonts w:ascii="Times New Roman" w:eastAsia="Times New Roman" w:hAnsi="Times New Roman" w:cs="Times New Roman"/>
          <w:sz w:val="24"/>
          <w:szCs w:val="24"/>
        </w:rPr>
        <w:t xml:space="preserve">purportedly </w:t>
      </w:r>
      <w:r w:rsidR="00D93ACD" w:rsidRPr="00CE219D">
        <w:rPr>
          <w:rFonts w:ascii="Times New Roman" w:eastAsia="Times New Roman" w:hAnsi="Times New Roman" w:cs="Times New Roman"/>
          <w:sz w:val="24"/>
          <w:szCs w:val="24"/>
        </w:rPr>
        <w:t xml:space="preserve">assigning to investors </w:t>
      </w:r>
      <w:r w:rsidR="00D93ACD" w:rsidRPr="00676949">
        <w:rPr>
          <w:rFonts w:ascii="Times New Roman" w:eastAsia="Times New Roman" w:hAnsi="Times New Roman" w:cs="Times New Roman"/>
          <w:sz w:val="24"/>
          <w:szCs w:val="24"/>
        </w:rPr>
        <w:t xml:space="preserve">part of </w:t>
      </w:r>
      <w:r w:rsidR="000D7CFB" w:rsidRPr="00676949">
        <w:rPr>
          <w:rFonts w:ascii="Times New Roman" w:eastAsia="Times New Roman" w:hAnsi="Times New Roman" w:cs="Times New Roman"/>
          <w:sz w:val="24"/>
          <w:szCs w:val="24"/>
        </w:rPr>
        <w:t xml:space="preserve">the </w:t>
      </w:r>
      <w:r w:rsidR="002D311D" w:rsidRPr="00676949">
        <w:rPr>
          <w:rFonts w:ascii="Times New Roman" w:eastAsia="Times New Roman" w:hAnsi="Times New Roman" w:cs="Times New Roman"/>
          <w:sz w:val="24"/>
          <w:szCs w:val="24"/>
        </w:rPr>
        <w:t xml:space="preserve">consumers’ </w:t>
      </w:r>
      <w:r w:rsidR="00D93ACD" w:rsidRPr="00676949">
        <w:rPr>
          <w:rFonts w:ascii="Times New Roman" w:eastAsia="Times New Roman" w:hAnsi="Times New Roman" w:cs="Times New Roman"/>
          <w:sz w:val="24"/>
          <w:szCs w:val="24"/>
        </w:rPr>
        <w:t>monthly pension or disability payments</w:t>
      </w:r>
      <w:r w:rsidR="00F05F30">
        <w:rPr>
          <w:rFonts w:ascii="Times New Roman" w:eastAsia="Times New Roman" w:hAnsi="Times New Roman" w:cs="Times New Roman"/>
          <w:sz w:val="24"/>
          <w:szCs w:val="24"/>
        </w:rPr>
        <w:t xml:space="preserve"> for </w:t>
      </w:r>
      <w:r w:rsidR="00D93ACD" w:rsidRPr="00676949">
        <w:rPr>
          <w:rFonts w:ascii="Times New Roman" w:eastAsia="Times New Roman" w:hAnsi="Times New Roman" w:cs="Times New Roman"/>
          <w:sz w:val="24"/>
          <w:szCs w:val="24"/>
        </w:rPr>
        <w:t>five to ten years.</w:t>
      </w:r>
    </w:p>
    <w:p w14:paraId="6565C649" w14:textId="26760AC8" w:rsidR="0001223F" w:rsidRPr="00676949" w:rsidRDefault="0001223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w:t>
      </w:r>
      <w:r w:rsidR="00C13C1C" w:rsidRPr="00676949">
        <w:rPr>
          <w:rFonts w:ascii="Times New Roman" w:eastAsia="Times New Roman" w:hAnsi="Times New Roman" w:cs="Times New Roman"/>
          <w:sz w:val="24"/>
          <w:szCs w:val="24"/>
        </w:rPr>
        <w:t xml:space="preserve">majority of the </w:t>
      </w:r>
      <w:r w:rsidRPr="00676949">
        <w:rPr>
          <w:rFonts w:ascii="Times New Roman" w:eastAsia="Times New Roman" w:hAnsi="Times New Roman" w:cs="Times New Roman"/>
          <w:sz w:val="24"/>
          <w:szCs w:val="24"/>
        </w:rPr>
        <w:t>high-interest credit offers</w:t>
      </w:r>
      <w:r w:rsidR="00481F6C" w:rsidRPr="00676949">
        <w:rPr>
          <w:rFonts w:ascii="Times New Roman" w:eastAsia="Times New Roman" w:hAnsi="Times New Roman" w:cs="Times New Roman"/>
          <w:sz w:val="24"/>
          <w:szCs w:val="24"/>
        </w:rPr>
        <w:t xml:space="preserve"> brokered by</w:t>
      </w:r>
      <w:r w:rsidRPr="00676949">
        <w:rPr>
          <w:rFonts w:ascii="Times New Roman" w:eastAsia="Times New Roman" w:hAnsi="Times New Roman" w:cs="Times New Roman"/>
          <w:sz w:val="24"/>
          <w:szCs w:val="24"/>
        </w:rPr>
        <w:t xml:space="preserve"> </w:t>
      </w:r>
      <w:r w:rsidR="001C211D" w:rsidRPr="00676949">
        <w:rPr>
          <w:rFonts w:ascii="Times New Roman" w:eastAsia="Times New Roman" w:hAnsi="Times New Roman" w:cs="Times New Roman"/>
          <w:sz w:val="24"/>
          <w:szCs w:val="24"/>
        </w:rPr>
        <w:t>the Broker Companies</w:t>
      </w:r>
      <w:r w:rsidRPr="00676949">
        <w:rPr>
          <w:rFonts w:ascii="Times New Roman" w:eastAsia="Times New Roman" w:hAnsi="Times New Roman" w:cs="Times New Roman"/>
          <w:sz w:val="24"/>
          <w:szCs w:val="24"/>
        </w:rPr>
        <w:t xml:space="preserve"> </w:t>
      </w:r>
      <w:r w:rsidR="00F33DC5" w:rsidRPr="00676949">
        <w:rPr>
          <w:rFonts w:ascii="Times New Roman" w:eastAsia="Times New Roman" w:hAnsi="Times New Roman" w:cs="Times New Roman"/>
          <w:sz w:val="24"/>
          <w:szCs w:val="24"/>
        </w:rPr>
        <w:t>were</w:t>
      </w:r>
      <w:r w:rsidRPr="00676949">
        <w:rPr>
          <w:rFonts w:ascii="Times New Roman" w:eastAsia="Times New Roman" w:hAnsi="Times New Roman" w:cs="Times New Roman"/>
          <w:sz w:val="24"/>
          <w:szCs w:val="24"/>
        </w:rPr>
        <w:t xml:space="preserve"> for veterans who </w:t>
      </w:r>
      <w:r w:rsidR="00F33DC5" w:rsidRPr="00676949">
        <w:rPr>
          <w:rFonts w:ascii="Times New Roman" w:eastAsia="Times New Roman" w:hAnsi="Times New Roman" w:cs="Times New Roman"/>
          <w:sz w:val="24"/>
          <w:szCs w:val="24"/>
        </w:rPr>
        <w:t>ha</w:t>
      </w:r>
      <w:r w:rsidR="00881117" w:rsidRPr="00676949">
        <w:rPr>
          <w:rFonts w:ascii="Times New Roman" w:eastAsia="Times New Roman" w:hAnsi="Times New Roman" w:cs="Times New Roman"/>
          <w:sz w:val="24"/>
          <w:szCs w:val="24"/>
        </w:rPr>
        <w:t>ve</w:t>
      </w:r>
      <w:r w:rsidRPr="00676949">
        <w:rPr>
          <w:rFonts w:ascii="Times New Roman" w:eastAsia="Times New Roman" w:hAnsi="Times New Roman" w:cs="Times New Roman"/>
          <w:sz w:val="24"/>
          <w:szCs w:val="24"/>
        </w:rPr>
        <w:t xml:space="preserve"> Department of Veterans Affairs (VA) disability </w:t>
      </w:r>
      <w:r w:rsidR="00095436" w:rsidRPr="00676949">
        <w:rPr>
          <w:rFonts w:ascii="Times New Roman" w:eastAsia="Times New Roman" w:hAnsi="Times New Roman" w:cs="Times New Roman"/>
          <w:sz w:val="24"/>
          <w:szCs w:val="24"/>
        </w:rPr>
        <w:t>benefits</w:t>
      </w:r>
      <w:r w:rsidRPr="00676949">
        <w:rPr>
          <w:rFonts w:ascii="Times New Roman" w:eastAsia="Times New Roman" w:hAnsi="Times New Roman" w:cs="Times New Roman"/>
          <w:sz w:val="24"/>
          <w:szCs w:val="24"/>
        </w:rPr>
        <w:t xml:space="preserve"> or pensions administered by the Defense Finance and Accounting Service (DFAS). The VA establishes a veteran’s level of disability and administers disability</w:t>
      </w:r>
      <w:r w:rsidR="007C71FD" w:rsidRPr="00676949">
        <w:rPr>
          <w:rFonts w:ascii="Times New Roman" w:eastAsia="Times New Roman" w:hAnsi="Times New Roman" w:cs="Times New Roman"/>
          <w:sz w:val="24"/>
          <w:szCs w:val="24"/>
        </w:rPr>
        <w:t>-</w:t>
      </w:r>
      <w:r w:rsidR="00095436" w:rsidRPr="00676949">
        <w:rPr>
          <w:rFonts w:ascii="Times New Roman" w:eastAsia="Times New Roman" w:hAnsi="Times New Roman" w:cs="Times New Roman"/>
          <w:sz w:val="24"/>
          <w:szCs w:val="24"/>
        </w:rPr>
        <w:t>benefit</w:t>
      </w:r>
      <w:r w:rsidR="008224C5" w:rsidRPr="00676949">
        <w:rPr>
          <w:rFonts w:ascii="Times New Roman" w:eastAsia="Times New Roman" w:hAnsi="Times New Roman" w:cs="Times New Roman"/>
          <w:sz w:val="24"/>
          <w:szCs w:val="24"/>
        </w:rPr>
        <w:t xml:space="preserve"> payments</w:t>
      </w:r>
      <w:r w:rsidRPr="00676949">
        <w:rPr>
          <w:rFonts w:ascii="Times New Roman" w:eastAsia="Times New Roman" w:hAnsi="Times New Roman" w:cs="Times New Roman"/>
          <w:sz w:val="24"/>
          <w:szCs w:val="24"/>
        </w:rPr>
        <w:t xml:space="preserve">. DFAS is a federal agency within the Department of Defense; it includes an office that issues monthly pension payments to military retirees.  </w:t>
      </w:r>
    </w:p>
    <w:p w14:paraId="0C74DB5B" w14:textId="5C2CE73F" w:rsidR="00DC1EBD" w:rsidRPr="00676949" w:rsidRDefault="00DC1EBD"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Federal law prohibits agreements under which another person acquires the right to receive a veteran’s pension </w:t>
      </w:r>
      <w:r w:rsidR="006C56AD" w:rsidRPr="00676949">
        <w:rPr>
          <w:rFonts w:ascii="Times New Roman" w:eastAsia="Times New Roman" w:hAnsi="Times New Roman" w:cs="Times New Roman"/>
          <w:sz w:val="24"/>
          <w:szCs w:val="24"/>
        </w:rPr>
        <w:t xml:space="preserve">or disability </w:t>
      </w:r>
      <w:r w:rsidRPr="00676949">
        <w:rPr>
          <w:rFonts w:ascii="Times New Roman" w:eastAsia="Times New Roman" w:hAnsi="Times New Roman" w:cs="Times New Roman"/>
          <w:sz w:val="24"/>
          <w:szCs w:val="24"/>
        </w:rPr>
        <w:t>payments. 38 U.S.C. § 5301.</w:t>
      </w:r>
      <w:r w:rsidR="007B09D0" w:rsidRPr="00676949">
        <w:rPr>
          <w:rFonts w:ascii="Times New Roman" w:eastAsia="Times New Roman" w:hAnsi="Times New Roman" w:cs="Times New Roman"/>
          <w:sz w:val="24"/>
          <w:szCs w:val="24"/>
        </w:rPr>
        <w:t xml:space="preserve"> Thus, </w:t>
      </w:r>
      <w:r w:rsidR="00B56386">
        <w:rPr>
          <w:rFonts w:ascii="Times New Roman" w:eastAsia="Times New Roman" w:hAnsi="Times New Roman" w:cs="Times New Roman"/>
          <w:sz w:val="24"/>
          <w:szCs w:val="24"/>
        </w:rPr>
        <w:t xml:space="preserve">the Broker Companies’ </w:t>
      </w:r>
      <w:r w:rsidR="007B09D0" w:rsidRPr="00676949">
        <w:rPr>
          <w:rFonts w:ascii="Times New Roman" w:eastAsia="Times New Roman" w:hAnsi="Times New Roman" w:cs="Times New Roman"/>
          <w:sz w:val="24"/>
          <w:szCs w:val="24"/>
        </w:rPr>
        <w:t xml:space="preserve">contracts are prohibited under federal law. </w:t>
      </w:r>
    </w:p>
    <w:p w14:paraId="7A0FD6B2" w14:textId="1E07DD34" w:rsidR="00651D9E" w:rsidRPr="00676949" w:rsidRDefault="009C5255"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South Carolina law, the </w:t>
      </w:r>
      <w:r w:rsidR="00D01787" w:rsidRPr="00676949">
        <w:rPr>
          <w:rFonts w:ascii="Times New Roman" w:eastAsia="Times New Roman" w:hAnsi="Times New Roman" w:cs="Times New Roman"/>
          <w:sz w:val="24"/>
          <w:szCs w:val="24"/>
        </w:rPr>
        <w:t xml:space="preserve">governing </w:t>
      </w:r>
      <w:r w:rsidRPr="00676949">
        <w:rPr>
          <w:rFonts w:ascii="Times New Roman" w:eastAsia="Times New Roman" w:hAnsi="Times New Roman" w:cs="Times New Roman"/>
          <w:sz w:val="24"/>
          <w:szCs w:val="24"/>
        </w:rPr>
        <w:t>law</w:t>
      </w:r>
      <w:r w:rsidR="00D01787" w:rsidRPr="00676949">
        <w:rPr>
          <w:rFonts w:ascii="Times New Roman" w:eastAsia="Times New Roman" w:hAnsi="Times New Roman" w:cs="Times New Roman"/>
          <w:sz w:val="24"/>
          <w:szCs w:val="24"/>
        </w:rPr>
        <w:t xml:space="preserve"> specified in the contracts’</w:t>
      </w:r>
      <w:r w:rsidRPr="00676949">
        <w:rPr>
          <w:rFonts w:ascii="Times New Roman" w:eastAsia="Times New Roman" w:hAnsi="Times New Roman" w:cs="Times New Roman"/>
          <w:sz w:val="24"/>
          <w:szCs w:val="24"/>
        </w:rPr>
        <w:t xml:space="preserve"> choice</w:t>
      </w:r>
      <w:r w:rsidR="00B065EE"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of</w:t>
      </w:r>
      <w:r w:rsidR="00B065EE"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law provision,</w:t>
      </w:r>
      <w:r w:rsidR="00CA1E39" w:rsidRPr="00676949">
        <w:rPr>
          <w:rFonts w:ascii="Times New Roman" w:eastAsia="Times New Roman" w:hAnsi="Times New Roman" w:cs="Times New Roman"/>
          <w:sz w:val="24"/>
          <w:szCs w:val="24"/>
        </w:rPr>
        <w:t xml:space="preserve"> prohibits</w:t>
      </w:r>
      <w:r w:rsidRPr="00676949">
        <w:rPr>
          <w:rFonts w:ascii="Times New Roman" w:eastAsia="Times New Roman" w:hAnsi="Times New Roman" w:cs="Times New Roman"/>
          <w:sz w:val="24"/>
          <w:szCs w:val="24"/>
        </w:rPr>
        <w:t xml:space="preserve"> </w:t>
      </w:r>
      <w:r w:rsidR="00CA1E39" w:rsidRPr="00676949">
        <w:rPr>
          <w:rFonts w:ascii="Times New Roman" w:eastAsia="Times New Roman" w:hAnsi="Times New Roman" w:cs="Times New Roman"/>
          <w:sz w:val="24"/>
          <w:szCs w:val="24"/>
        </w:rPr>
        <w:t>an assignment of earnings for payment or as security for payment of a debt</w:t>
      </w:r>
      <w:r w:rsidR="000C47B0" w:rsidRPr="00676949">
        <w:rPr>
          <w:rFonts w:ascii="Times New Roman" w:eastAsia="Times New Roman" w:hAnsi="Times New Roman" w:cs="Times New Roman"/>
          <w:sz w:val="24"/>
          <w:szCs w:val="24"/>
        </w:rPr>
        <w:t xml:space="preserve"> arising out of a consumer loan a</w:t>
      </w:r>
      <w:r w:rsidR="00CA1E39" w:rsidRPr="00676949">
        <w:rPr>
          <w:rFonts w:ascii="Times New Roman" w:eastAsia="Times New Roman" w:hAnsi="Times New Roman" w:cs="Times New Roman"/>
          <w:sz w:val="24"/>
          <w:szCs w:val="24"/>
        </w:rPr>
        <w:t xml:space="preserve">nd deems a sale of unpaid earnings made in consideration of the payment of money to the seller of the earnings to be a loan secured by an assignment of earnings. </w:t>
      </w:r>
      <w:r w:rsidR="000C47B0" w:rsidRPr="00676949">
        <w:rPr>
          <w:rFonts w:ascii="Times New Roman" w:eastAsia="Times New Roman" w:hAnsi="Times New Roman" w:cs="Times New Roman"/>
          <w:sz w:val="24"/>
          <w:szCs w:val="24"/>
        </w:rPr>
        <w:t>S.C. Code</w:t>
      </w:r>
      <w:r w:rsidR="00616686" w:rsidRPr="00676949">
        <w:rPr>
          <w:rFonts w:ascii="Times New Roman" w:eastAsia="Times New Roman" w:hAnsi="Times New Roman" w:cs="Times New Roman"/>
          <w:sz w:val="24"/>
          <w:szCs w:val="24"/>
        </w:rPr>
        <w:t xml:space="preserve"> Ann.</w:t>
      </w:r>
      <w:r w:rsidR="000C47B0" w:rsidRPr="00676949">
        <w:rPr>
          <w:rFonts w:ascii="Times New Roman" w:eastAsia="Times New Roman" w:hAnsi="Times New Roman" w:cs="Times New Roman"/>
          <w:sz w:val="24"/>
          <w:szCs w:val="24"/>
        </w:rPr>
        <w:t xml:space="preserve"> § 37-3-403</w:t>
      </w:r>
      <w:r w:rsidR="00651D9E" w:rsidRPr="00676949">
        <w:rPr>
          <w:rFonts w:ascii="Times New Roman" w:eastAsia="Times New Roman" w:hAnsi="Times New Roman" w:cs="Times New Roman"/>
          <w:sz w:val="24"/>
          <w:szCs w:val="24"/>
        </w:rPr>
        <w:t xml:space="preserve"> (2012)</w:t>
      </w:r>
      <w:r w:rsidR="000C47B0" w:rsidRPr="00676949">
        <w:rPr>
          <w:rFonts w:ascii="Times New Roman" w:eastAsia="Times New Roman" w:hAnsi="Times New Roman" w:cs="Times New Roman"/>
          <w:sz w:val="24"/>
          <w:szCs w:val="24"/>
        </w:rPr>
        <w:t>. “Earnings” includes periodic payments pursuant to a pension, retirement</w:t>
      </w:r>
      <w:r w:rsidR="007C71FD" w:rsidRPr="00676949">
        <w:rPr>
          <w:rFonts w:ascii="Times New Roman" w:eastAsia="Times New Roman" w:hAnsi="Times New Roman" w:cs="Times New Roman"/>
          <w:sz w:val="24"/>
          <w:szCs w:val="24"/>
        </w:rPr>
        <w:t>,</w:t>
      </w:r>
      <w:r w:rsidR="000C47B0" w:rsidRPr="00676949">
        <w:rPr>
          <w:rFonts w:ascii="Times New Roman" w:eastAsia="Times New Roman" w:hAnsi="Times New Roman" w:cs="Times New Roman"/>
          <w:sz w:val="24"/>
          <w:szCs w:val="24"/>
        </w:rPr>
        <w:t xml:space="preserve"> or disability program. S</w:t>
      </w:r>
      <w:r w:rsidR="00651D9E" w:rsidRPr="00676949">
        <w:rPr>
          <w:rFonts w:ascii="Times New Roman" w:eastAsia="Times New Roman" w:hAnsi="Times New Roman" w:cs="Times New Roman"/>
          <w:sz w:val="24"/>
          <w:szCs w:val="24"/>
        </w:rPr>
        <w:t>.</w:t>
      </w:r>
      <w:r w:rsidR="000C47B0" w:rsidRPr="00676949">
        <w:rPr>
          <w:rFonts w:ascii="Times New Roman" w:eastAsia="Times New Roman" w:hAnsi="Times New Roman" w:cs="Times New Roman"/>
          <w:sz w:val="24"/>
          <w:szCs w:val="24"/>
        </w:rPr>
        <w:t>C</w:t>
      </w:r>
      <w:r w:rsidR="00651D9E" w:rsidRPr="00676949">
        <w:rPr>
          <w:rFonts w:ascii="Times New Roman" w:eastAsia="Times New Roman" w:hAnsi="Times New Roman" w:cs="Times New Roman"/>
          <w:sz w:val="24"/>
          <w:szCs w:val="24"/>
        </w:rPr>
        <w:t>.</w:t>
      </w:r>
      <w:r w:rsidR="000C47B0" w:rsidRPr="00676949">
        <w:rPr>
          <w:rFonts w:ascii="Times New Roman" w:eastAsia="Times New Roman" w:hAnsi="Times New Roman" w:cs="Times New Roman"/>
          <w:sz w:val="24"/>
          <w:szCs w:val="24"/>
        </w:rPr>
        <w:t xml:space="preserve"> Code</w:t>
      </w:r>
      <w:r w:rsidR="00616686" w:rsidRPr="00676949">
        <w:rPr>
          <w:rFonts w:ascii="Times New Roman" w:eastAsia="Times New Roman" w:hAnsi="Times New Roman" w:cs="Times New Roman"/>
          <w:sz w:val="24"/>
          <w:szCs w:val="24"/>
        </w:rPr>
        <w:t xml:space="preserve"> Ann.</w:t>
      </w:r>
      <w:r w:rsidR="000C47B0" w:rsidRPr="00676949">
        <w:rPr>
          <w:rFonts w:ascii="Times New Roman" w:eastAsia="Times New Roman" w:hAnsi="Times New Roman" w:cs="Times New Roman"/>
          <w:sz w:val="24"/>
          <w:szCs w:val="24"/>
        </w:rPr>
        <w:t xml:space="preserve"> § 37-1-301(15) (2012).</w:t>
      </w:r>
      <w:r w:rsidR="00B37C52" w:rsidRPr="00676949">
        <w:rPr>
          <w:rFonts w:ascii="Times New Roman" w:eastAsia="Times New Roman" w:hAnsi="Times New Roman" w:cs="Times New Roman"/>
          <w:sz w:val="24"/>
          <w:szCs w:val="24"/>
        </w:rPr>
        <w:t xml:space="preserve"> Thus, the</w:t>
      </w:r>
      <w:r w:rsidR="00B56386">
        <w:rPr>
          <w:rFonts w:ascii="Times New Roman" w:eastAsia="Times New Roman" w:hAnsi="Times New Roman" w:cs="Times New Roman"/>
          <w:sz w:val="24"/>
          <w:szCs w:val="24"/>
        </w:rPr>
        <w:t xml:space="preserve"> Broker Companies’ </w:t>
      </w:r>
      <w:r w:rsidR="00B37C52" w:rsidRPr="00676949">
        <w:rPr>
          <w:rFonts w:ascii="Times New Roman" w:eastAsia="Times New Roman" w:hAnsi="Times New Roman" w:cs="Times New Roman"/>
          <w:sz w:val="24"/>
          <w:szCs w:val="24"/>
        </w:rPr>
        <w:t xml:space="preserve">contracts are prohibited under South Carolina law. </w:t>
      </w:r>
    </w:p>
    <w:p w14:paraId="4CAC640C" w14:textId="77777777" w:rsidR="00EF2776" w:rsidRPr="00676949" w:rsidRDefault="009C6DC5"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w:t>
      </w:r>
      <w:r w:rsidR="00881117" w:rsidRPr="00676949">
        <w:rPr>
          <w:rFonts w:ascii="Times New Roman" w:eastAsia="Times New Roman" w:hAnsi="Times New Roman" w:cs="Times New Roman"/>
          <w:sz w:val="24"/>
          <w:szCs w:val="24"/>
        </w:rPr>
        <w:t>, with Defendants’ assistance,</w:t>
      </w:r>
      <w:r w:rsidR="009B4900" w:rsidRPr="00676949">
        <w:rPr>
          <w:rFonts w:ascii="Times New Roman" w:eastAsia="Times New Roman" w:hAnsi="Times New Roman" w:cs="Times New Roman"/>
          <w:sz w:val="24"/>
          <w:szCs w:val="24"/>
        </w:rPr>
        <w:t xml:space="preserve"> represent</w:t>
      </w:r>
      <w:r w:rsidR="00F33DC5" w:rsidRPr="00676949">
        <w:rPr>
          <w:rFonts w:ascii="Times New Roman" w:eastAsia="Times New Roman" w:hAnsi="Times New Roman" w:cs="Times New Roman"/>
          <w:sz w:val="24"/>
          <w:szCs w:val="24"/>
        </w:rPr>
        <w:t>ed</w:t>
      </w:r>
      <w:r w:rsidR="009B4900" w:rsidRPr="00676949">
        <w:rPr>
          <w:rFonts w:ascii="Times New Roman" w:eastAsia="Times New Roman" w:hAnsi="Times New Roman" w:cs="Times New Roman"/>
          <w:sz w:val="24"/>
          <w:szCs w:val="24"/>
        </w:rPr>
        <w:t xml:space="preserve"> to </w:t>
      </w:r>
      <w:r w:rsidR="00166112" w:rsidRPr="00676949">
        <w:rPr>
          <w:rFonts w:ascii="Times New Roman" w:eastAsia="Times New Roman" w:hAnsi="Times New Roman" w:cs="Times New Roman"/>
          <w:sz w:val="24"/>
          <w:szCs w:val="24"/>
        </w:rPr>
        <w:t xml:space="preserve">consumers </w:t>
      </w:r>
      <w:r w:rsidR="009B4900" w:rsidRPr="00676949">
        <w:rPr>
          <w:rFonts w:ascii="Times New Roman" w:eastAsia="Times New Roman" w:hAnsi="Times New Roman" w:cs="Times New Roman"/>
          <w:sz w:val="24"/>
          <w:szCs w:val="24"/>
        </w:rPr>
        <w:t>that the</w:t>
      </w:r>
      <w:r w:rsidR="008E79C0" w:rsidRPr="00676949">
        <w:rPr>
          <w:rFonts w:ascii="Times New Roman" w:eastAsia="Times New Roman" w:hAnsi="Times New Roman" w:cs="Times New Roman"/>
          <w:sz w:val="24"/>
          <w:szCs w:val="24"/>
        </w:rPr>
        <w:t xml:space="preserve"> </w:t>
      </w:r>
      <w:r w:rsidR="009B4900" w:rsidRPr="00676949">
        <w:rPr>
          <w:rFonts w:ascii="Times New Roman" w:eastAsia="Times New Roman" w:hAnsi="Times New Roman" w:cs="Times New Roman"/>
          <w:sz w:val="24"/>
          <w:szCs w:val="24"/>
        </w:rPr>
        <w:t xml:space="preserve">products </w:t>
      </w:r>
      <w:r w:rsidR="00F33DC5" w:rsidRPr="00676949">
        <w:rPr>
          <w:rFonts w:ascii="Times New Roman" w:eastAsia="Times New Roman" w:hAnsi="Times New Roman" w:cs="Times New Roman"/>
          <w:sz w:val="24"/>
          <w:szCs w:val="24"/>
        </w:rPr>
        <w:t>they</w:t>
      </w:r>
      <w:r w:rsidR="00751D66" w:rsidRPr="00676949">
        <w:rPr>
          <w:rFonts w:ascii="Times New Roman" w:eastAsia="Times New Roman" w:hAnsi="Times New Roman" w:cs="Times New Roman"/>
          <w:sz w:val="24"/>
          <w:szCs w:val="24"/>
        </w:rPr>
        <w:t xml:space="preserve"> broker</w:t>
      </w:r>
      <w:r w:rsidR="00F33DC5" w:rsidRPr="00676949">
        <w:rPr>
          <w:rFonts w:ascii="Times New Roman" w:eastAsia="Times New Roman" w:hAnsi="Times New Roman" w:cs="Times New Roman"/>
          <w:sz w:val="24"/>
          <w:szCs w:val="24"/>
        </w:rPr>
        <w:t>ed were</w:t>
      </w:r>
      <w:r w:rsidR="00437607" w:rsidRPr="00676949">
        <w:rPr>
          <w:rFonts w:ascii="Times New Roman" w:eastAsia="Times New Roman" w:hAnsi="Times New Roman" w:cs="Times New Roman"/>
          <w:sz w:val="24"/>
          <w:szCs w:val="24"/>
        </w:rPr>
        <w:t xml:space="preserve"> sales of </w:t>
      </w:r>
      <w:r w:rsidR="00166112" w:rsidRPr="00676949">
        <w:rPr>
          <w:rFonts w:ascii="Times New Roman" w:eastAsia="Times New Roman" w:hAnsi="Times New Roman" w:cs="Times New Roman"/>
          <w:sz w:val="24"/>
          <w:szCs w:val="24"/>
        </w:rPr>
        <w:t xml:space="preserve">payments </w:t>
      </w:r>
      <w:r w:rsidR="009B4900" w:rsidRPr="00676949">
        <w:rPr>
          <w:rFonts w:ascii="Times New Roman" w:eastAsia="Times New Roman" w:hAnsi="Times New Roman" w:cs="Times New Roman"/>
          <w:sz w:val="24"/>
          <w:szCs w:val="24"/>
        </w:rPr>
        <w:t xml:space="preserve">and not high-interest credit offers. </w:t>
      </w:r>
      <w:r w:rsidR="00976971" w:rsidRPr="00676949">
        <w:rPr>
          <w:rFonts w:ascii="Times New Roman" w:eastAsia="Times New Roman" w:hAnsi="Times New Roman" w:cs="Times New Roman"/>
          <w:sz w:val="24"/>
          <w:szCs w:val="24"/>
        </w:rPr>
        <w:t xml:space="preserve">For example, the first page of </w:t>
      </w:r>
      <w:r w:rsidR="003115FD" w:rsidRPr="00676949">
        <w:rPr>
          <w:rFonts w:ascii="Times New Roman" w:eastAsia="Times New Roman" w:hAnsi="Times New Roman" w:cs="Times New Roman"/>
          <w:sz w:val="24"/>
          <w:szCs w:val="24"/>
        </w:rPr>
        <w:t>the</w:t>
      </w:r>
      <w:r w:rsidR="00976971" w:rsidRPr="00676949">
        <w:rPr>
          <w:rFonts w:ascii="Times New Roman" w:eastAsia="Times New Roman" w:hAnsi="Times New Roman" w:cs="Times New Roman"/>
          <w:sz w:val="24"/>
          <w:szCs w:val="24"/>
        </w:rPr>
        <w:t xml:space="preserve"> “New</w:t>
      </w:r>
      <w:r w:rsidR="00B0536D" w:rsidRPr="00676949">
        <w:rPr>
          <w:rFonts w:ascii="Times New Roman" w:eastAsia="Times New Roman" w:hAnsi="Times New Roman" w:cs="Times New Roman"/>
          <w:sz w:val="24"/>
          <w:szCs w:val="24"/>
        </w:rPr>
        <w:t xml:space="preserve"> </w:t>
      </w:r>
      <w:r w:rsidR="00976971" w:rsidRPr="00676949">
        <w:rPr>
          <w:rFonts w:ascii="Times New Roman" w:eastAsia="Times New Roman" w:hAnsi="Times New Roman" w:cs="Times New Roman"/>
          <w:sz w:val="24"/>
          <w:szCs w:val="24"/>
        </w:rPr>
        <w:t xml:space="preserve">Seller Information Packet,” sent to consumers by </w:t>
      </w:r>
      <w:r w:rsidRPr="00676949">
        <w:rPr>
          <w:rFonts w:ascii="Times New Roman" w:eastAsia="Times New Roman" w:hAnsi="Times New Roman" w:cs="Times New Roman"/>
          <w:sz w:val="24"/>
          <w:szCs w:val="24"/>
        </w:rPr>
        <w:t>the Broker Companies</w:t>
      </w:r>
      <w:r w:rsidR="00976971" w:rsidRPr="00676949">
        <w:rPr>
          <w:rFonts w:ascii="Times New Roman" w:eastAsia="Times New Roman" w:hAnsi="Times New Roman" w:cs="Times New Roman"/>
          <w:sz w:val="24"/>
          <w:szCs w:val="24"/>
        </w:rPr>
        <w:t>, stated, “It is important to note that this is not a loan[.]” The first paragraph of a form email sent with the packet stated, “Please keep in mind that this is not a loan, you are selling a product for a set price.”</w:t>
      </w:r>
    </w:p>
    <w:p w14:paraId="0C870418" w14:textId="3DF0EB5E" w:rsidR="00EF2776" w:rsidRPr="00676949" w:rsidRDefault="008E79C0"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But </w:t>
      </w:r>
      <w:r w:rsidR="00E915E7" w:rsidRPr="00676949">
        <w:rPr>
          <w:rFonts w:ascii="Times New Roman" w:eastAsia="Times New Roman" w:hAnsi="Times New Roman" w:cs="Times New Roman"/>
          <w:sz w:val="24"/>
          <w:szCs w:val="24"/>
        </w:rPr>
        <w:t xml:space="preserve">the substance of the transactions indicates that the Broker Companies’ product was an offer of credit. Consumers had their </w:t>
      </w:r>
      <w:r w:rsidR="00D20424" w:rsidRPr="00676949">
        <w:rPr>
          <w:rFonts w:ascii="Times New Roman" w:eastAsia="Times New Roman" w:hAnsi="Times New Roman" w:cs="Times New Roman"/>
          <w:sz w:val="24"/>
          <w:szCs w:val="24"/>
        </w:rPr>
        <w:t xml:space="preserve">creditworthiness </w:t>
      </w:r>
      <w:r w:rsidR="00E915E7" w:rsidRPr="00676949">
        <w:rPr>
          <w:rFonts w:ascii="Times New Roman" w:eastAsia="Times New Roman" w:hAnsi="Times New Roman" w:cs="Times New Roman"/>
          <w:sz w:val="24"/>
          <w:szCs w:val="24"/>
        </w:rPr>
        <w:t xml:space="preserve">assessed before they could </w:t>
      </w:r>
      <w:r w:rsidR="00396BFA" w:rsidRPr="00676949">
        <w:rPr>
          <w:rFonts w:ascii="Times New Roman" w:eastAsia="Times New Roman" w:hAnsi="Times New Roman" w:cs="Times New Roman"/>
          <w:sz w:val="24"/>
          <w:szCs w:val="24"/>
        </w:rPr>
        <w:t>enter a contract</w:t>
      </w:r>
      <w:r w:rsidR="00D20424" w:rsidRPr="00676949">
        <w:rPr>
          <w:rFonts w:ascii="Times New Roman" w:eastAsia="Times New Roman" w:hAnsi="Times New Roman" w:cs="Times New Roman"/>
          <w:sz w:val="24"/>
          <w:szCs w:val="24"/>
        </w:rPr>
        <w:t xml:space="preserve">. </w:t>
      </w:r>
      <w:r w:rsidR="00E915E7" w:rsidRPr="00676949">
        <w:rPr>
          <w:rFonts w:ascii="Times New Roman" w:eastAsia="Times New Roman" w:hAnsi="Times New Roman" w:cs="Times New Roman"/>
          <w:sz w:val="24"/>
          <w:szCs w:val="24"/>
        </w:rPr>
        <w:t xml:space="preserve">Consumers’ payments </w:t>
      </w:r>
      <w:r w:rsidR="00F01D90">
        <w:rPr>
          <w:rFonts w:ascii="Times New Roman" w:eastAsia="Times New Roman" w:hAnsi="Times New Roman" w:cs="Times New Roman"/>
          <w:sz w:val="24"/>
          <w:szCs w:val="24"/>
        </w:rPr>
        <w:t>were</w:t>
      </w:r>
      <w:r w:rsidR="00E915E7" w:rsidRPr="00676949">
        <w:rPr>
          <w:rFonts w:ascii="Times New Roman" w:eastAsia="Times New Roman" w:hAnsi="Times New Roman" w:cs="Times New Roman"/>
          <w:sz w:val="24"/>
          <w:szCs w:val="24"/>
        </w:rPr>
        <w:t xml:space="preserve"> due on a regular, monthly schedule, and consumers </w:t>
      </w:r>
      <w:r w:rsidR="00136960">
        <w:rPr>
          <w:rFonts w:ascii="Times New Roman" w:eastAsia="Times New Roman" w:hAnsi="Times New Roman" w:cs="Times New Roman"/>
          <w:sz w:val="24"/>
          <w:szCs w:val="24"/>
        </w:rPr>
        <w:t>did</w:t>
      </w:r>
      <w:r w:rsidR="00E915E7" w:rsidRPr="00676949">
        <w:rPr>
          <w:rFonts w:ascii="Times New Roman" w:eastAsia="Times New Roman" w:hAnsi="Times New Roman" w:cs="Times New Roman"/>
          <w:sz w:val="24"/>
          <w:szCs w:val="24"/>
        </w:rPr>
        <w:t xml:space="preserve"> not give up control over their future-income streams. </w:t>
      </w:r>
      <w:r w:rsidR="00EF2776" w:rsidRPr="00676949">
        <w:rPr>
          <w:rFonts w:ascii="Times New Roman" w:eastAsia="Times New Roman" w:hAnsi="Times New Roman" w:cs="Times New Roman"/>
          <w:sz w:val="24"/>
          <w:szCs w:val="24"/>
        </w:rPr>
        <w:t xml:space="preserve">And the contracts </w:t>
      </w:r>
      <w:r w:rsidR="00136960">
        <w:rPr>
          <w:rFonts w:ascii="Times New Roman" w:eastAsia="Times New Roman" w:hAnsi="Times New Roman" w:cs="Times New Roman"/>
          <w:sz w:val="24"/>
          <w:szCs w:val="24"/>
        </w:rPr>
        <w:t>permit</w:t>
      </w:r>
      <w:r w:rsidR="00F01D90">
        <w:rPr>
          <w:rFonts w:ascii="Times New Roman" w:eastAsia="Times New Roman" w:hAnsi="Times New Roman" w:cs="Times New Roman"/>
          <w:sz w:val="24"/>
          <w:szCs w:val="24"/>
        </w:rPr>
        <w:t>ted</w:t>
      </w:r>
      <w:r w:rsidR="00136960">
        <w:rPr>
          <w:rFonts w:ascii="Times New Roman" w:eastAsia="Times New Roman" w:hAnsi="Times New Roman" w:cs="Times New Roman"/>
          <w:sz w:val="24"/>
          <w:szCs w:val="24"/>
        </w:rPr>
        <w:t xml:space="preserve"> repayment </w:t>
      </w:r>
      <w:r w:rsidR="00EF2776" w:rsidRPr="00676949">
        <w:rPr>
          <w:rFonts w:ascii="Times New Roman" w:eastAsia="Times New Roman" w:hAnsi="Times New Roman" w:cs="Times New Roman"/>
          <w:sz w:val="24"/>
          <w:szCs w:val="24"/>
        </w:rPr>
        <w:t xml:space="preserve">from sources other than the contracted-for income stream. </w:t>
      </w:r>
      <w:r w:rsidR="00EC274A" w:rsidRPr="00676949">
        <w:rPr>
          <w:rFonts w:ascii="Times New Roman" w:eastAsia="Times New Roman" w:hAnsi="Times New Roman" w:cs="Times New Roman"/>
          <w:sz w:val="24"/>
          <w:szCs w:val="24"/>
        </w:rPr>
        <w:t>In fact, some consumers were required to purchase life-insurance policies, and</w:t>
      </w:r>
      <w:r w:rsidR="00BD6781" w:rsidRPr="00676949">
        <w:rPr>
          <w:rFonts w:ascii="Times New Roman" w:eastAsia="Times New Roman" w:hAnsi="Times New Roman" w:cs="Times New Roman"/>
          <w:sz w:val="24"/>
          <w:szCs w:val="24"/>
        </w:rPr>
        <w:t xml:space="preserve"> Defendants even used </w:t>
      </w:r>
      <w:r w:rsidR="00EC274A" w:rsidRPr="00676949">
        <w:rPr>
          <w:rFonts w:ascii="Times New Roman" w:eastAsia="Times New Roman" w:hAnsi="Times New Roman" w:cs="Times New Roman"/>
          <w:sz w:val="24"/>
          <w:szCs w:val="24"/>
        </w:rPr>
        <w:t xml:space="preserve">some </w:t>
      </w:r>
      <w:r w:rsidR="003115FD" w:rsidRPr="00676949">
        <w:rPr>
          <w:rFonts w:ascii="Times New Roman" w:eastAsia="Times New Roman" w:hAnsi="Times New Roman" w:cs="Times New Roman"/>
          <w:sz w:val="24"/>
          <w:szCs w:val="24"/>
        </w:rPr>
        <w:t>investors’ lump sums to</w:t>
      </w:r>
      <w:r w:rsidR="00EC274A" w:rsidRPr="00676949">
        <w:rPr>
          <w:rFonts w:ascii="Times New Roman" w:eastAsia="Times New Roman" w:hAnsi="Times New Roman" w:cs="Times New Roman"/>
          <w:sz w:val="24"/>
          <w:szCs w:val="24"/>
        </w:rPr>
        <w:t xml:space="preserve"> purchase a</w:t>
      </w:r>
      <w:r w:rsidR="00BD6781" w:rsidRPr="00676949">
        <w:rPr>
          <w:rFonts w:ascii="Times New Roman" w:eastAsia="Times New Roman" w:hAnsi="Times New Roman" w:cs="Times New Roman"/>
          <w:sz w:val="24"/>
          <w:szCs w:val="24"/>
        </w:rPr>
        <w:t>n additional</w:t>
      </w:r>
      <w:r w:rsidR="00EC274A" w:rsidRPr="00676949">
        <w:rPr>
          <w:rFonts w:ascii="Times New Roman" w:eastAsia="Times New Roman" w:hAnsi="Times New Roman" w:cs="Times New Roman"/>
          <w:sz w:val="24"/>
          <w:szCs w:val="24"/>
        </w:rPr>
        <w:t xml:space="preserve"> “suicide wrapper,” so t</w:t>
      </w:r>
      <w:r w:rsidR="00AE31D3" w:rsidRPr="00676949">
        <w:rPr>
          <w:rFonts w:ascii="Times New Roman" w:eastAsia="Times New Roman" w:hAnsi="Times New Roman" w:cs="Times New Roman"/>
          <w:sz w:val="24"/>
          <w:szCs w:val="24"/>
        </w:rPr>
        <w:t>hat should the</w:t>
      </w:r>
      <w:r w:rsidR="00EC274A" w:rsidRPr="00676949">
        <w:rPr>
          <w:rFonts w:ascii="Times New Roman" w:eastAsia="Times New Roman" w:hAnsi="Times New Roman" w:cs="Times New Roman"/>
          <w:sz w:val="24"/>
          <w:szCs w:val="24"/>
        </w:rPr>
        <w:t xml:space="preserve"> consumer die and the income stream stop, the outstanding amount on the contract would still be paid.</w:t>
      </w:r>
    </w:p>
    <w:p w14:paraId="32B4B721" w14:textId="77777777" w:rsidR="0050511E" w:rsidRPr="00676949" w:rsidRDefault="0050511E" w:rsidP="00676949">
      <w:pPr>
        <w:spacing w:after="0" w:line="240" w:lineRule="auto"/>
        <w:ind w:firstLine="720"/>
        <w:rPr>
          <w:rFonts w:ascii="Times New Roman" w:eastAsia="Times New Roman" w:hAnsi="Times New Roman" w:cs="Times New Roman"/>
          <w:b/>
          <w:sz w:val="24"/>
          <w:szCs w:val="24"/>
        </w:rPr>
      </w:pPr>
    </w:p>
    <w:p w14:paraId="59E23F7C" w14:textId="77777777" w:rsidR="00CF09D3" w:rsidRPr="00676949" w:rsidRDefault="008C0134" w:rsidP="005B5A9A">
      <w:pPr>
        <w:keepNext/>
        <w:spacing w:after="0" w:line="48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Defendants’ Role in </w:t>
      </w:r>
      <w:r w:rsidR="00CF09D3" w:rsidRPr="00676949">
        <w:rPr>
          <w:rFonts w:ascii="Times New Roman" w:eastAsia="Times New Roman" w:hAnsi="Times New Roman" w:cs="Times New Roman"/>
          <w:b/>
          <w:sz w:val="24"/>
          <w:szCs w:val="24"/>
        </w:rPr>
        <w:t>Underwriting</w:t>
      </w:r>
      <w:r w:rsidRPr="00676949">
        <w:rPr>
          <w:rFonts w:ascii="Times New Roman" w:eastAsia="Times New Roman" w:hAnsi="Times New Roman" w:cs="Times New Roman"/>
          <w:b/>
          <w:sz w:val="24"/>
          <w:szCs w:val="24"/>
        </w:rPr>
        <w:t xml:space="preserve"> the Transactions</w:t>
      </w:r>
    </w:p>
    <w:p w14:paraId="57AA515C" w14:textId="77777777" w:rsidR="000C2E01" w:rsidRPr="00676949" w:rsidRDefault="0050511E"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w:t>
      </w:r>
      <w:r w:rsidR="00361BA2" w:rsidRPr="00676949">
        <w:rPr>
          <w:rFonts w:ascii="Times New Roman" w:eastAsia="Times New Roman" w:hAnsi="Times New Roman" w:cs="Times New Roman"/>
          <w:sz w:val="24"/>
          <w:szCs w:val="24"/>
        </w:rPr>
        <w:t xml:space="preserve">assessed </w:t>
      </w:r>
      <w:r w:rsidR="00650AA9" w:rsidRPr="00676949">
        <w:rPr>
          <w:rFonts w:ascii="Times New Roman" w:eastAsia="Times New Roman" w:hAnsi="Times New Roman" w:cs="Times New Roman"/>
          <w:sz w:val="24"/>
          <w:szCs w:val="24"/>
        </w:rPr>
        <w:t xml:space="preserve">consumers’ </w:t>
      </w:r>
      <w:r w:rsidRPr="00676949">
        <w:rPr>
          <w:rFonts w:ascii="Times New Roman" w:eastAsia="Times New Roman" w:hAnsi="Times New Roman" w:cs="Times New Roman"/>
          <w:sz w:val="24"/>
          <w:szCs w:val="24"/>
        </w:rPr>
        <w:t>creditworthiness for the Broker Companies</w:t>
      </w:r>
      <w:r w:rsidR="00650AA9" w:rsidRPr="00676949">
        <w:rPr>
          <w:rFonts w:ascii="Times New Roman" w:eastAsia="Times New Roman" w:hAnsi="Times New Roman" w:cs="Times New Roman"/>
          <w:sz w:val="24"/>
          <w:szCs w:val="24"/>
        </w:rPr>
        <w:t xml:space="preserve"> be</w:t>
      </w:r>
      <w:r w:rsidR="00361BA2" w:rsidRPr="00676949">
        <w:rPr>
          <w:rFonts w:ascii="Times New Roman" w:eastAsia="Times New Roman" w:hAnsi="Times New Roman" w:cs="Times New Roman"/>
          <w:sz w:val="24"/>
          <w:szCs w:val="24"/>
        </w:rPr>
        <w:t>fore consumers were allowed to enter a contract</w:t>
      </w:r>
      <w:r w:rsidRPr="00676949">
        <w:rPr>
          <w:rFonts w:ascii="Times New Roman" w:eastAsia="Times New Roman" w:hAnsi="Times New Roman" w:cs="Times New Roman"/>
          <w:sz w:val="24"/>
          <w:szCs w:val="24"/>
        </w:rPr>
        <w:t>.</w:t>
      </w:r>
      <w:r w:rsidR="000C2E01" w:rsidRPr="00676949">
        <w:rPr>
          <w:rFonts w:ascii="Times New Roman" w:eastAsia="Times New Roman" w:hAnsi="Times New Roman" w:cs="Times New Roman"/>
          <w:sz w:val="24"/>
          <w:szCs w:val="24"/>
        </w:rPr>
        <w:t xml:space="preserve"> </w:t>
      </w:r>
    </w:p>
    <w:p w14:paraId="3C00240B" w14:textId="19886B0F" w:rsidR="0050511E" w:rsidRPr="00676949" w:rsidRDefault="000C2E01"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Defendants developed a risk</w:t>
      </w:r>
      <w:r w:rsidR="006A6FEB"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assessment process to evaluate the business risk</w:t>
      </w:r>
      <w:r w:rsidR="00352786" w:rsidRPr="00676949">
        <w:rPr>
          <w:rFonts w:ascii="Times New Roman" w:eastAsia="Times New Roman" w:hAnsi="Times New Roman" w:cs="Times New Roman"/>
          <w:sz w:val="24"/>
          <w:szCs w:val="24"/>
        </w:rPr>
        <w:t xml:space="preserve"> that</w:t>
      </w:r>
      <w:r w:rsidRPr="00676949">
        <w:rPr>
          <w:rFonts w:ascii="Times New Roman" w:eastAsia="Times New Roman" w:hAnsi="Times New Roman" w:cs="Times New Roman"/>
          <w:sz w:val="24"/>
          <w:szCs w:val="24"/>
        </w:rPr>
        <w:t xml:space="preserve"> consumer</w:t>
      </w:r>
      <w:r w:rsidR="00352786" w:rsidRPr="00676949">
        <w:rPr>
          <w:rFonts w:ascii="Times New Roman" w:eastAsia="Times New Roman" w:hAnsi="Times New Roman" w:cs="Times New Roman"/>
          <w:sz w:val="24"/>
          <w:szCs w:val="24"/>
        </w:rPr>
        <w:t>s</w:t>
      </w:r>
      <w:r w:rsidRPr="00676949">
        <w:rPr>
          <w:rFonts w:ascii="Times New Roman" w:eastAsia="Times New Roman" w:hAnsi="Times New Roman" w:cs="Times New Roman"/>
          <w:sz w:val="24"/>
          <w:szCs w:val="24"/>
        </w:rPr>
        <w:t xml:space="preserve"> would default</w:t>
      </w:r>
      <w:r w:rsidR="00352786" w:rsidRPr="00676949">
        <w:rPr>
          <w:rFonts w:ascii="Times New Roman" w:eastAsia="Times New Roman" w:hAnsi="Times New Roman" w:cs="Times New Roman"/>
          <w:sz w:val="24"/>
          <w:szCs w:val="24"/>
        </w:rPr>
        <w:t xml:space="preserve"> on their payments</w:t>
      </w:r>
      <w:r w:rsidRPr="00676949">
        <w:rPr>
          <w:rFonts w:ascii="Times New Roman" w:eastAsia="Times New Roman" w:hAnsi="Times New Roman" w:cs="Times New Roman"/>
          <w:sz w:val="24"/>
          <w:szCs w:val="24"/>
        </w:rPr>
        <w:t xml:space="preserve">. </w:t>
      </w:r>
      <w:r w:rsidR="0050511E" w:rsidRPr="00676949">
        <w:rPr>
          <w:rFonts w:ascii="Times New Roman" w:eastAsia="Times New Roman" w:hAnsi="Times New Roman" w:cs="Times New Roman"/>
          <w:sz w:val="24"/>
          <w:szCs w:val="24"/>
        </w:rPr>
        <w:t>A ULG employee pull</w:t>
      </w:r>
      <w:r w:rsidRPr="00676949">
        <w:rPr>
          <w:rFonts w:ascii="Times New Roman" w:eastAsia="Times New Roman" w:hAnsi="Times New Roman" w:cs="Times New Roman"/>
          <w:sz w:val="24"/>
          <w:szCs w:val="24"/>
        </w:rPr>
        <w:t>ed</w:t>
      </w:r>
      <w:r w:rsidR="0050511E" w:rsidRPr="00676949">
        <w:rPr>
          <w:rFonts w:ascii="Times New Roman" w:eastAsia="Times New Roman" w:hAnsi="Times New Roman" w:cs="Times New Roman"/>
          <w:sz w:val="24"/>
          <w:szCs w:val="24"/>
        </w:rPr>
        <w:t xml:space="preserve"> a background check on each potential consumer </w:t>
      </w:r>
      <w:r w:rsidR="00352786" w:rsidRPr="00676949">
        <w:rPr>
          <w:rFonts w:ascii="Times New Roman" w:eastAsia="Times New Roman" w:hAnsi="Times New Roman" w:cs="Times New Roman"/>
          <w:sz w:val="24"/>
          <w:szCs w:val="24"/>
        </w:rPr>
        <w:t>and sent that</w:t>
      </w:r>
      <w:r w:rsidRPr="00676949">
        <w:rPr>
          <w:rFonts w:ascii="Times New Roman" w:eastAsia="Times New Roman" w:hAnsi="Times New Roman" w:cs="Times New Roman"/>
          <w:sz w:val="24"/>
          <w:szCs w:val="24"/>
        </w:rPr>
        <w:t xml:space="preserve"> information to Kern-Fuller</w:t>
      </w:r>
      <w:r w:rsidR="00F30305" w:rsidRPr="00676949">
        <w:rPr>
          <w:rFonts w:ascii="Times New Roman" w:eastAsia="Times New Roman" w:hAnsi="Times New Roman" w:cs="Times New Roman"/>
          <w:sz w:val="24"/>
          <w:szCs w:val="24"/>
        </w:rPr>
        <w:t xml:space="preserve"> or Sutter</w:t>
      </w:r>
      <w:r w:rsidRPr="00676949">
        <w:rPr>
          <w:rFonts w:ascii="Times New Roman" w:eastAsia="Times New Roman" w:hAnsi="Times New Roman" w:cs="Times New Roman"/>
          <w:sz w:val="24"/>
          <w:szCs w:val="24"/>
        </w:rPr>
        <w:t>. Kern-Fuller or Sutter also requested specific documents or information from the Broker Companies or dire</w:t>
      </w:r>
      <w:r w:rsidR="00765C9C" w:rsidRPr="00676949">
        <w:rPr>
          <w:rFonts w:ascii="Times New Roman" w:eastAsia="Times New Roman" w:hAnsi="Times New Roman" w:cs="Times New Roman"/>
          <w:sz w:val="24"/>
          <w:szCs w:val="24"/>
        </w:rPr>
        <w:t>ctly from consumers, including</w:t>
      </w:r>
      <w:r w:rsidRPr="00676949">
        <w:rPr>
          <w:rFonts w:ascii="Times New Roman" w:eastAsia="Times New Roman" w:hAnsi="Times New Roman" w:cs="Times New Roman"/>
          <w:sz w:val="24"/>
          <w:szCs w:val="24"/>
        </w:rPr>
        <w:t xml:space="preserve"> consu</w:t>
      </w:r>
      <w:r w:rsidR="00765C9C" w:rsidRPr="00676949">
        <w:rPr>
          <w:rFonts w:ascii="Times New Roman" w:eastAsia="Times New Roman" w:hAnsi="Times New Roman" w:cs="Times New Roman"/>
          <w:sz w:val="24"/>
          <w:szCs w:val="24"/>
        </w:rPr>
        <w:t>mer</w:t>
      </w:r>
      <w:r w:rsidRPr="00676949">
        <w:rPr>
          <w:rFonts w:ascii="Times New Roman" w:eastAsia="Times New Roman" w:hAnsi="Times New Roman" w:cs="Times New Roman"/>
          <w:sz w:val="24"/>
          <w:szCs w:val="24"/>
        </w:rPr>
        <w:t>s</w:t>
      </w:r>
      <w:r w:rsidR="00765C9C"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 xml:space="preserve"> credit report</w:t>
      </w:r>
      <w:r w:rsidR="00765C9C" w:rsidRPr="00676949">
        <w:rPr>
          <w:rFonts w:ascii="Times New Roman" w:eastAsia="Times New Roman" w:hAnsi="Times New Roman" w:cs="Times New Roman"/>
          <w:sz w:val="24"/>
          <w:szCs w:val="24"/>
        </w:rPr>
        <w:t>s</w:t>
      </w:r>
      <w:r w:rsidRPr="00676949">
        <w:rPr>
          <w:rFonts w:ascii="Times New Roman" w:eastAsia="Times New Roman" w:hAnsi="Times New Roman" w:cs="Times New Roman"/>
          <w:sz w:val="24"/>
          <w:szCs w:val="24"/>
        </w:rPr>
        <w:t>, asset and debt information, and monthly budget</w:t>
      </w:r>
      <w:r w:rsidR="00765C9C" w:rsidRPr="00676949">
        <w:rPr>
          <w:rFonts w:ascii="Times New Roman" w:eastAsia="Times New Roman" w:hAnsi="Times New Roman" w:cs="Times New Roman"/>
          <w:sz w:val="24"/>
          <w:szCs w:val="24"/>
        </w:rPr>
        <w:t>s</w:t>
      </w:r>
      <w:r w:rsidRPr="00676949">
        <w:rPr>
          <w:rFonts w:ascii="Times New Roman" w:eastAsia="Times New Roman" w:hAnsi="Times New Roman" w:cs="Times New Roman"/>
          <w:sz w:val="24"/>
          <w:szCs w:val="24"/>
        </w:rPr>
        <w:t xml:space="preserve">. </w:t>
      </w:r>
    </w:p>
    <w:p w14:paraId="6C7389DE" w14:textId="75913E30" w:rsidR="00650AA9" w:rsidRPr="00676949" w:rsidRDefault="00650AA9"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If Defendants determined </w:t>
      </w:r>
      <w:r w:rsidR="00090C98">
        <w:rPr>
          <w:rFonts w:ascii="Times New Roman" w:eastAsia="Times New Roman" w:hAnsi="Times New Roman" w:cs="Times New Roman"/>
          <w:sz w:val="24"/>
          <w:szCs w:val="24"/>
        </w:rPr>
        <w:t xml:space="preserve">that </w:t>
      </w:r>
      <w:r w:rsidRPr="00676949">
        <w:rPr>
          <w:rFonts w:ascii="Times New Roman" w:eastAsia="Times New Roman" w:hAnsi="Times New Roman" w:cs="Times New Roman"/>
          <w:sz w:val="24"/>
          <w:szCs w:val="24"/>
        </w:rPr>
        <w:t xml:space="preserve">a consumer had too much </w:t>
      </w:r>
      <w:r w:rsidR="00352786" w:rsidRPr="00676949">
        <w:rPr>
          <w:rFonts w:ascii="Times New Roman" w:eastAsia="Times New Roman" w:hAnsi="Times New Roman" w:cs="Times New Roman"/>
          <w:sz w:val="24"/>
          <w:szCs w:val="24"/>
        </w:rPr>
        <w:t xml:space="preserve">outstanding </w:t>
      </w:r>
      <w:r w:rsidRPr="00676949">
        <w:rPr>
          <w:rFonts w:ascii="Times New Roman" w:eastAsia="Times New Roman" w:hAnsi="Times New Roman" w:cs="Times New Roman"/>
          <w:sz w:val="24"/>
          <w:szCs w:val="24"/>
        </w:rPr>
        <w:t xml:space="preserve">debt, </w:t>
      </w:r>
      <w:r w:rsidR="00482C2F" w:rsidRPr="00676949">
        <w:rPr>
          <w:rFonts w:ascii="Times New Roman" w:eastAsia="Times New Roman" w:hAnsi="Times New Roman" w:cs="Times New Roman"/>
          <w:sz w:val="24"/>
          <w:szCs w:val="24"/>
        </w:rPr>
        <w:t>Defendants</w:t>
      </w:r>
      <w:r w:rsidRPr="00676949">
        <w:rPr>
          <w:rFonts w:ascii="Times New Roman" w:eastAsia="Times New Roman" w:hAnsi="Times New Roman" w:cs="Times New Roman"/>
          <w:sz w:val="24"/>
          <w:szCs w:val="24"/>
        </w:rPr>
        <w:t xml:space="preserve"> </w:t>
      </w:r>
      <w:r w:rsidR="00AE31D3" w:rsidRPr="00676949">
        <w:rPr>
          <w:rFonts w:ascii="Times New Roman" w:eastAsia="Times New Roman" w:hAnsi="Times New Roman" w:cs="Times New Roman"/>
          <w:sz w:val="24"/>
          <w:szCs w:val="24"/>
        </w:rPr>
        <w:t>would instruct</w:t>
      </w:r>
      <w:r w:rsidR="002563B9" w:rsidRPr="00676949">
        <w:rPr>
          <w:rFonts w:ascii="Times New Roman" w:eastAsia="Times New Roman" w:hAnsi="Times New Roman" w:cs="Times New Roman"/>
          <w:sz w:val="24"/>
          <w:szCs w:val="24"/>
        </w:rPr>
        <w:t xml:space="preserve"> that</w:t>
      </w:r>
      <w:r w:rsidRPr="00676949">
        <w:rPr>
          <w:rFonts w:ascii="Times New Roman" w:eastAsia="Times New Roman" w:hAnsi="Times New Roman" w:cs="Times New Roman"/>
          <w:sz w:val="24"/>
          <w:szCs w:val="24"/>
        </w:rPr>
        <w:t xml:space="preserve"> the consumer had to pay off a certain portion of that debt before </w:t>
      </w:r>
      <w:r w:rsidR="00482C2F" w:rsidRPr="00676949">
        <w:rPr>
          <w:rFonts w:ascii="Times New Roman" w:eastAsia="Times New Roman" w:hAnsi="Times New Roman" w:cs="Times New Roman"/>
          <w:sz w:val="24"/>
          <w:szCs w:val="24"/>
        </w:rPr>
        <w:t>Defendants</w:t>
      </w:r>
      <w:r w:rsidRPr="00676949">
        <w:rPr>
          <w:rFonts w:ascii="Times New Roman" w:eastAsia="Times New Roman" w:hAnsi="Times New Roman" w:cs="Times New Roman"/>
          <w:sz w:val="24"/>
          <w:szCs w:val="24"/>
        </w:rPr>
        <w:t xml:space="preserve"> would approve the transaction. </w:t>
      </w:r>
    </w:p>
    <w:p w14:paraId="277CFB9E" w14:textId="77777777" w:rsidR="00CD5C71" w:rsidRPr="00676949" w:rsidRDefault="00352786" w:rsidP="00CD5C71">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Broker Companies would not complete a transaction without Defendants’ approval. </w:t>
      </w:r>
    </w:p>
    <w:p w14:paraId="553FBE9B" w14:textId="57B8D681" w:rsidR="00722E7C" w:rsidRPr="00676949" w:rsidRDefault="00722E7C">
      <w:pPr>
        <w:rPr>
          <w:rFonts w:ascii="Times New Roman" w:eastAsia="Times New Roman" w:hAnsi="Times New Roman" w:cs="Times New Roman"/>
          <w:b/>
          <w:sz w:val="24"/>
          <w:szCs w:val="24"/>
        </w:rPr>
      </w:pPr>
    </w:p>
    <w:p w14:paraId="6AAD83AE" w14:textId="4B1DE750" w:rsidR="00915457" w:rsidRPr="00676949" w:rsidRDefault="008C0134" w:rsidP="005B5A9A">
      <w:pPr>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Defendants’ Role in </w:t>
      </w:r>
      <w:r w:rsidR="00CF09D3" w:rsidRPr="00676949">
        <w:rPr>
          <w:rFonts w:ascii="Times New Roman" w:eastAsia="Times New Roman" w:hAnsi="Times New Roman" w:cs="Times New Roman"/>
          <w:b/>
          <w:sz w:val="24"/>
          <w:szCs w:val="24"/>
        </w:rPr>
        <w:t xml:space="preserve">Payment </w:t>
      </w:r>
    </w:p>
    <w:p w14:paraId="1DA1A03A" w14:textId="77777777" w:rsidR="00CF09D3" w:rsidRPr="00676949" w:rsidRDefault="00CF09D3" w:rsidP="005B5A9A">
      <w:pPr>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Processing Using ULG’s IOLTA Account</w:t>
      </w:r>
    </w:p>
    <w:p w14:paraId="5C8C933B" w14:textId="77777777" w:rsidR="00CA71A4" w:rsidRPr="00676949" w:rsidRDefault="00CA71A4" w:rsidP="007753CF">
      <w:pPr>
        <w:spacing w:after="0" w:line="240" w:lineRule="auto"/>
        <w:ind w:firstLine="720"/>
        <w:rPr>
          <w:rFonts w:ascii="Times New Roman" w:eastAsia="Times New Roman" w:hAnsi="Times New Roman" w:cs="Times New Roman"/>
          <w:b/>
          <w:sz w:val="24"/>
          <w:szCs w:val="24"/>
        </w:rPr>
      </w:pPr>
    </w:p>
    <w:p w14:paraId="17F92730" w14:textId="77777777" w:rsidR="0063105E" w:rsidRPr="00676949" w:rsidRDefault="00352786"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w:t>
      </w:r>
      <w:r w:rsidR="0063105E" w:rsidRPr="00676949">
        <w:rPr>
          <w:rFonts w:ascii="Times New Roman" w:eastAsia="Times New Roman" w:hAnsi="Times New Roman" w:cs="Times New Roman"/>
          <w:sz w:val="24"/>
          <w:szCs w:val="24"/>
        </w:rPr>
        <w:t xml:space="preserve">used ULG’s </w:t>
      </w:r>
      <w:r w:rsidR="00FF4E11" w:rsidRPr="00676949">
        <w:rPr>
          <w:rFonts w:ascii="Times New Roman" w:eastAsia="Times New Roman" w:hAnsi="Times New Roman" w:cs="Times New Roman"/>
          <w:sz w:val="24"/>
          <w:szCs w:val="24"/>
        </w:rPr>
        <w:t>Interest on Lawyers Trust Account (</w:t>
      </w:r>
      <w:r w:rsidR="0063105E" w:rsidRPr="00676949">
        <w:rPr>
          <w:rFonts w:ascii="Times New Roman" w:eastAsia="Times New Roman" w:hAnsi="Times New Roman" w:cs="Times New Roman"/>
          <w:sz w:val="24"/>
          <w:szCs w:val="24"/>
        </w:rPr>
        <w:t>IOLTA</w:t>
      </w:r>
      <w:r w:rsidR="00FF4E11" w:rsidRPr="00676949">
        <w:rPr>
          <w:rFonts w:ascii="Times New Roman" w:eastAsia="Times New Roman" w:hAnsi="Times New Roman" w:cs="Times New Roman"/>
          <w:sz w:val="24"/>
          <w:szCs w:val="24"/>
        </w:rPr>
        <w:t>)</w:t>
      </w:r>
      <w:r w:rsidR="0063105E" w:rsidRPr="00676949">
        <w:rPr>
          <w:rFonts w:ascii="Times New Roman" w:eastAsia="Times New Roman" w:hAnsi="Times New Roman" w:cs="Times New Roman"/>
          <w:sz w:val="24"/>
          <w:szCs w:val="24"/>
        </w:rPr>
        <w:t xml:space="preserve"> to </w:t>
      </w:r>
      <w:r w:rsidR="00FF4E11" w:rsidRPr="00676949">
        <w:rPr>
          <w:rFonts w:ascii="Times New Roman" w:eastAsia="Times New Roman" w:hAnsi="Times New Roman" w:cs="Times New Roman"/>
          <w:sz w:val="24"/>
          <w:szCs w:val="24"/>
        </w:rPr>
        <w:t>receive payments from consumers, send payments to investors, and distribute commissions under</w:t>
      </w:r>
      <w:r w:rsidR="000B5408" w:rsidRPr="00676949">
        <w:rPr>
          <w:rFonts w:ascii="Times New Roman" w:eastAsia="Times New Roman" w:hAnsi="Times New Roman" w:cs="Times New Roman"/>
          <w:sz w:val="24"/>
          <w:szCs w:val="24"/>
        </w:rPr>
        <w:t xml:space="preserve"> the Broker Companies</w:t>
      </w:r>
      <w:r w:rsidR="00FF4E11" w:rsidRPr="00676949">
        <w:rPr>
          <w:rFonts w:ascii="Times New Roman" w:eastAsia="Times New Roman" w:hAnsi="Times New Roman" w:cs="Times New Roman"/>
          <w:sz w:val="24"/>
          <w:szCs w:val="24"/>
        </w:rPr>
        <w:t>’ contracts</w:t>
      </w:r>
      <w:r w:rsidR="000B5408" w:rsidRPr="00676949">
        <w:rPr>
          <w:rFonts w:ascii="Times New Roman" w:eastAsia="Times New Roman" w:hAnsi="Times New Roman" w:cs="Times New Roman"/>
          <w:sz w:val="24"/>
          <w:szCs w:val="24"/>
        </w:rPr>
        <w:t xml:space="preserve">. </w:t>
      </w:r>
    </w:p>
    <w:p w14:paraId="4C610D5E" w14:textId="77777777" w:rsidR="002F3FF4" w:rsidRPr="00676949" w:rsidRDefault="002F3FF4"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When a </w:t>
      </w:r>
      <w:r w:rsidR="009F261A" w:rsidRPr="00676949">
        <w:rPr>
          <w:rFonts w:ascii="Times New Roman" w:eastAsia="Times New Roman" w:hAnsi="Times New Roman" w:cs="Times New Roman"/>
          <w:sz w:val="24"/>
          <w:szCs w:val="24"/>
        </w:rPr>
        <w:t xml:space="preserve">contract </w:t>
      </w:r>
      <w:r w:rsidRPr="00676949">
        <w:rPr>
          <w:rFonts w:ascii="Times New Roman" w:eastAsia="Times New Roman" w:hAnsi="Times New Roman" w:cs="Times New Roman"/>
          <w:sz w:val="24"/>
          <w:szCs w:val="24"/>
        </w:rPr>
        <w:t>closed, the investor sent the purchase</w:t>
      </w:r>
      <w:r w:rsidR="00791569"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price payment to ULG’s account. Defendants would</w:t>
      </w:r>
      <w:r w:rsidR="00F63C2B" w:rsidRPr="00676949">
        <w:rPr>
          <w:rFonts w:ascii="Times New Roman" w:eastAsia="Times New Roman" w:hAnsi="Times New Roman" w:cs="Times New Roman"/>
          <w:sz w:val="24"/>
          <w:szCs w:val="24"/>
        </w:rPr>
        <w:t xml:space="preserve"> then</w:t>
      </w:r>
      <w:r w:rsidRPr="00676949">
        <w:rPr>
          <w:rFonts w:ascii="Times New Roman" w:eastAsia="Times New Roman" w:hAnsi="Times New Roman" w:cs="Times New Roman"/>
          <w:sz w:val="24"/>
          <w:szCs w:val="24"/>
        </w:rPr>
        <w:t xml:space="preserve"> distribute </w:t>
      </w:r>
      <w:r w:rsidR="009F261A" w:rsidRPr="00676949">
        <w:rPr>
          <w:rFonts w:ascii="Times New Roman" w:eastAsia="Times New Roman" w:hAnsi="Times New Roman" w:cs="Times New Roman"/>
          <w:sz w:val="24"/>
          <w:szCs w:val="24"/>
        </w:rPr>
        <w:t xml:space="preserve">the money, </w:t>
      </w:r>
      <w:r w:rsidR="00D63748" w:rsidRPr="00676949">
        <w:rPr>
          <w:rFonts w:ascii="Times New Roman" w:eastAsia="Times New Roman" w:hAnsi="Times New Roman" w:cs="Times New Roman"/>
          <w:sz w:val="24"/>
          <w:szCs w:val="24"/>
        </w:rPr>
        <w:t>including</w:t>
      </w:r>
      <w:r w:rsidR="009F261A" w:rsidRPr="00676949">
        <w:rPr>
          <w:rFonts w:ascii="Times New Roman" w:eastAsia="Times New Roman" w:hAnsi="Times New Roman" w:cs="Times New Roman"/>
          <w:sz w:val="24"/>
          <w:szCs w:val="24"/>
        </w:rPr>
        <w:t xml:space="preserve"> </w:t>
      </w:r>
      <w:r w:rsidR="00D63748" w:rsidRPr="00676949">
        <w:rPr>
          <w:rFonts w:ascii="Times New Roman" w:eastAsia="Times New Roman" w:hAnsi="Times New Roman" w:cs="Times New Roman"/>
          <w:sz w:val="24"/>
          <w:szCs w:val="24"/>
        </w:rPr>
        <w:t xml:space="preserve">the Broker Companies’ </w:t>
      </w:r>
      <w:r w:rsidR="00F63C2B" w:rsidRPr="00676949">
        <w:rPr>
          <w:rFonts w:ascii="Times New Roman" w:eastAsia="Times New Roman" w:hAnsi="Times New Roman" w:cs="Times New Roman"/>
          <w:sz w:val="24"/>
          <w:szCs w:val="24"/>
        </w:rPr>
        <w:t xml:space="preserve">fees, </w:t>
      </w:r>
      <w:r w:rsidR="009F261A" w:rsidRPr="00676949">
        <w:rPr>
          <w:rFonts w:ascii="Times New Roman" w:eastAsia="Times New Roman" w:hAnsi="Times New Roman" w:cs="Times New Roman"/>
          <w:sz w:val="24"/>
          <w:szCs w:val="24"/>
        </w:rPr>
        <w:t xml:space="preserve">the consumer’s lump sum, </w:t>
      </w:r>
      <w:r w:rsidR="00113013" w:rsidRPr="00676949">
        <w:rPr>
          <w:rFonts w:ascii="Times New Roman" w:eastAsia="Times New Roman" w:hAnsi="Times New Roman" w:cs="Times New Roman"/>
          <w:sz w:val="24"/>
          <w:szCs w:val="24"/>
        </w:rPr>
        <w:t xml:space="preserve">and </w:t>
      </w:r>
      <w:r w:rsidR="00F63C2B" w:rsidRPr="00676949">
        <w:rPr>
          <w:rFonts w:ascii="Times New Roman" w:eastAsia="Times New Roman" w:hAnsi="Times New Roman" w:cs="Times New Roman"/>
          <w:sz w:val="24"/>
          <w:szCs w:val="24"/>
        </w:rPr>
        <w:t>ULG’s</w:t>
      </w:r>
      <w:r w:rsidR="00D63748" w:rsidRPr="00676949">
        <w:rPr>
          <w:rFonts w:ascii="Times New Roman" w:eastAsia="Times New Roman" w:hAnsi="Times New Roman" w:cs="Times New Roman"/>
          <w:sz w:val="24"/>
          <w:szCs w:val="24"/>
        </w:rPr>
        <w:t xml:space="preserve"> own fees for </w:t>
      </w:r>
      <w:r w:rsidR="00F63C2B" w:rsidRPr="00676949">
        <w:rPr>
          <w:rFonts w:ascii="Times New Roman" w:eastAsia="Times New Roman" w:hAnsi="Times New Roman" w:cs="Times New Roman"/>
          <w:sz w:val="24"/>
          <w:szCs w:val="24"/>
        </w:rPr>
        <w:t xml:space="preserve">Defendants’ </w:t>
      </w:r>
      <w:r w:rsidR="00D63748" w:rsidRPr="00676949">
        <w:rPr>
          <w:rFonts w:ascii="Times New Roman" w:eastAsia="Times New Roman" w:hAnsi="Times New Roman" w:cs="Times New Roman"/>
          <w:sz w:val="24"/>
          <w:szCs w:val="24"/>
        </w:rPr>
        <w:t xml:space="preserve">closing and </w:t>
      </w:r>
      <w:r w:rsidR="00481F6C" w:rsidRPr="00676949">
        <w:rPr>
          <w:rFonts w:ascii="Times New Roman" w:eastAsia="Times New Roman" w:hAnsi="Times New Roman" w:cs="Times New Roman"/>
          <w:sz w:val="24"/>
          <w:szCs w:val="24"/>
        </w:rPr>
        <w:t>payment</w:t>
      </w:r>
      <w:r w:rsidR="007C3A85" w:rsidRPr="00676949">
        <w:rPr>
          <w:rFonts w:ascii="Times New Roman" w:eastAsia="Times New Roman" w:hAnsi="Times New Roman" w:cs="Times New Roman"/>
          <w:sz w:val="24"/>
          <w:szCs w:val="24"/>
        </w:rPr>
        <w:t>-</w:t>
      </w:r>
      <w:r w:rsidR="00481F6C" w:rsidRPr="00676949">
        <w:rPr>
          <w:rFonts w:ascii="Times New Roman" w:eastAsia="Times New Roman" w:hAnsi="Times New Roman" w:cs="Times New Roman"/>
          <w:sz w:val="24"/>
          <w:szCs w:val="24"/>
        </w:rPr>
        <w:t>processing</w:t>
      </w:r>
      <w:r w:rsidR="00D63748" w:rsidRPr="00676949">
        <w:rPr>
          <w:rFonts w:ascii="Times New Roman" w:eastAsia="Times New Roman" w:hAnsi="Times New Roman" w:cs="Times New Roman"/>
          <w:sz w:val="24"/>
          <w:szCs w:val="24"/>
        </w:rPr>
        <w:t xml:space="preserve"> services.</w:t>
      </w:r>
    </w:p>
    <w:p w14:paraId="424A9A14" w14:textId="5E8251E8" w:rsidR="00765C9C" w:rsidRPr="00676949" w:rsidRDefault="00765C9C"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Kern-Fuller developed the process for how payments were distributed and was responsible for ordering any distribution of funds from ULG’s account. Sutter also </w:t>
      </w:r>
      <w:r w:rsidR="00090C98">
        <w:rPr>
          <w:rFonts w:ascii="Times New Roman" w:eastAsia="Times New Roman" w:hAnsi="Times New Roman" w:cs="Times New Roman"/>
          <w:sz w:val="24"/>
          <w:szCs w:val="24"/>
        </w:rPr>
        <w:t xml:space="preserve">was </w:t>
      </w:r>
      <w:r w:rsidRPr="00676949">
        <w:rPr>
          <w:rFonts w:ascii="Times New Roman" w:eastAsia="Times New Roman" w:hAnsi="Times New Roman" w:cs="Times New Roman"/>
          <w:sz w:val="24"/>
          <w:szCs w:val="24"/>
        </w:rPr>
        <w:t>involved in the payment</w:t>
      </w:r>
      <w:r w:rsidR="00F30305"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distribution process and had the authority to submit transfer approvals to the bank.</w:t>
      </w:r>
    </w:p>
    <w:p w14:paraId="4305BD51" w14:textId="6AF27C40" w:rsidR="0063105E" w:rsidRPr="00676949" w:rsidRDefault="0063105E"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Consumers’ </w:t>
      </w:r>
      <w:r w:rsidR="00765C9C" w:rsidRPr="00676949">
        <w:rPr>
          <w:rFonts w:ascii="Times New Roman" w:eastAsia="Times New Roman" w:hAnsi="Times New Roman" w:cs="Times New Roman"/>
          <w:sz w:val="24"/>
          <w:szCs w:val="24"/>
        </w:rPr>
        <w:t xml:space="preserve">ongoing, </w:t>
      </w:r>
      <w:r w:rsidRPr="00676949">
        <w:rPr>
          <w:rFonts w:ascii="Times New Roman" w:eastAsia="Times New Roman" w:hAnsi="Times New Roman" w:cs="Times New Roman"/>
          <w:sz w:val="24"/>
          <w:szCs w:val="24"/>
        </w:rPr>
        <w:t>monthly payments were</w:t>
      </w:r>
      <w:r w:rsidR="00765C9C" w:rsidRPr="00676949">
        <w:rPr>
          <w:rFonts w:ascii="Times New Roman" w:eastAsia="Times New Roman" w:hAnsi="Times New Roman" w:cs="Times New Roman"/>
          <w:sz w:val="24"/>
          <w:szCs w:val="24"/>
        </w:rPr>
        <w:t xml:space="preserve"> </w:t>
      </w:r>
      <w:r w:rsidRPr="00676949">
        <w:rPr>
          <w:rFonts w:ascii="Times New Roman" w:eastAsia="Times New Roman" w:hAnsi="Times New Roman" w:cs="Times New Roman"/>
          <w:sz w:val="24"/>
          <w:szCs w:val="24"/>
        </w:rPr>
        <w:t xml:space="preserve">directed to </w:t>
      </w:r>
      <w:r w:rsidR="00D27C59" w:rsidRPr="00676949">
        <w:rPr>
          <w:rFonts w:ascii="Times New Roman" w:eastAsia="Times New Roman" w:hAnsi="Times New Roman" w:cs="Times New Roman"/>
          <w:sz w:val="24"/>
          <w:szCs w:val="24"/>
        </w:rPr>
        <w:t>ULG’s</w:t>
      </w:r>
      <w:r w:rsidRPr="00676949">
        <w:rPr>
          <w:rFonts w:ascii="Times New Roman" w:eastAsia="Times New Roman" w:hAnsi="Times New Roman" w:cs="Times New Roman"/>
          <w:sz w:val="24"/>
          <w:szCs w:val="24"/>
        </w:rPr>
        <w:t xml:space="preserve"> account. Defendants tracked consumers’ payments and controlled the distribution of those </w:t>
      </w:r>
      <w:r w:rsidR="002F3FF4" w:rsidRPr="00676949">
        <w:rPr>
          <w:rFonts w:ascii="Times New Roman" w:eastAsia="Times New Roman" w:hAnsi="Times New Roman" w:cs="Times New Roman"/>
          <w:sz w:val="24"/>
          <w:szCs w:val="24"/>
        </w:rPr>
        <w:t xml:space="preserve">payments to </w:t>
      </w:r>
      <w:r w:rsidR="00180C41" w:rsidRPr="00676949">
        <w:rPr>
          <w:rFonts w:ascii="Times New Roman" w:eastAsia="Times New Roman" w:hAnsi="Times New Roman" w:cs="Times New Roman"/>
          <w:sz w:val="24"/>
          <w:szCs w:val="24"/>
        </w:rPr>
        <w:t>the investors</w:t>
      </w:r>
      <w:r w:rsidR="002F3FF4" w:rsidRPr="00676949">
        <w:rPr>
          <w:rFonts w:ascii="Times New Roman" w:eastAsia="Times New Roman" w:hAnsi="Times New Roman" w:cs="Times New Roman"/>
          <w:sz w:val="24"/>
          <w:szCs w:val="24"/>
        </w:rPr>
        <w:t>.</w:t>
      </w:r>
    </w:p>
    <w:p w14:paraId="4E3CB447" w14:textId="7395A672" w:rsidR="00DA0753" w:rsidRPr="00676949" w:rsidRDefault="002F3FF4"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From </w:t>
      </w:r>
      <w:r w:rsidR="00DA0753" w:rsidRPr="00676949">
        <w:rPr>
          <w:rFonts w:ascii="Times New Roman" w:eastAsia="Times New Roman" w:hAnsi="Times New Roman" w:cs="Times New Roman"/>
          <w:sz w:val="24"/>
          <w:szCs w:val="24"/>
        </w:rPr>
        <w:t>2012</w:t>
      </w:r>
      <w:r w:rsidRPr="00676949">
        <w:rPr>
          <w:rFonts w:ascii="Times New Roman" w:eastAsia="Times New Roman" w:hAnsi="Times New Roman" w:cs="Times New Roman"/>
          <w:sz w:val="24"/>
          <w:szCs w:val="24"/>
        </w:rPr>
        <w:t xml:space="preserve"> to </w:t>
      </w:r>
      <w:r w:rsidR="00DA0753" w:rsidRPr="00676949">
        <w:rPr>
          <w:rFonts w:ascii="Times New Roman" w:eastAsia="Times New Roman" w:hAnsi="Times New Roman" w:cs="Times New Roman"/>
          <w:sz w:val="24"/>
          <w:szCs w:val="24"/>
        </w:rPr>
        <w:t xml:space="preserve">at least </w:t>
      </w:r>
      <w:r w:rsidR="00BB22DB" w:rsidRPr="00676949">
        <w:rPr>
          <w:rFonts w:ascii="Times New Roman" w:eastAsia="Times New Roman" w:hAnsi="Times New Roman" w:cs="Times New Roman"/>
          <w:sz w:val="24"/>
          <w:szCs w:val="24"/>
        </w:rPr>
        <w:t>2016,</w:t>
      </w:r>
      <w:r w:rsidRPr="00676949">
        <w:rPr>
          <w:rFonts w:ascii="Times New Roman" w:eastAsia="Times New Roman" w:hAnsi="Times New Roman" w:cs="Times New Roman"/>
          <w:sz w:val="24"/>
          <w:szCs w:val="24"/>
        </w:rPr>
        <w:t xml:space="preserve"> </w:t>
      </w:r>
      <w:r w:rsidR="00DA0753" w:rsidRPr="00676949">
        <w:rPr>
          <w:rFonts w:ascii="Times New Roman" w:eastAsia="Times New Roman" w:hAnsi="Times New Roman" w:cs="Times New Roman"/>
          <w:sz w:val="24"/>
          <w:szCs w:val="24"/>
        </w:rPr>
        <w:t>veterans were required to instruct the VA, th</w:t>
      </w:r>
      <w:r w:rsidR="0043585B" w:rsidRPr="00676949">
        <w:rPr>
          <w:rFonts w:ascii="Times New Roman" w:eastAsia="Times New Roman" w:hAnsi="Times New Roman" w:cs="Times New Roman"/>
          <w:sz w:val="24"/>
          <w:szCs w:val="24"/>
        </w:rPr>
        <w:t>r</w:t>
      </w:r>
      <w:r w:rsidR="00DA0753" w:rsidRPr="00676949">
        <w:rPr>
          <w:rFonts w:ascii="Times New Roman" w:eastAsia="Times New Roman" w:hAnsi="Times New Roman" w:cs="Times New Roman"/>
          <w:sz w:val="24"/>
          <w:szCs w:val="24"/>
        </w:rPr>
        <w:t xml:space="preserve">ough the </w:t>
      </w:r>
      <w:r w:rsidR="002C071E" w:rsidRPr="00676949">
        <w:rPr>
          <w:rFonts w:ascii="Times New Roman" w:eastAsia="Times New Roman" w:hAnsi="Times New Roman" w:cs="Times New Roman"/>
          <w:sz w:val="24"/>
          <w:szCs w:val="24"/>
        </w:rPr>
        <w:t>VA’s</w:t>
      </w:r>
      <w:r w:rsidR="00DA0753" w:rsidRPr="00676949">
        <w:rPr>
          <w:rFonts w:ascii="Times New Roman" w:eastAsia="Times New Roman" w:hAnsi="Times New Roman" w:cs="Times New Roman"/>
          <w:sz w:val="24"/>
          <w:szCs w:val="24"/>
        </w:rPr>
        <w:t xml:space="preserve"> online portal, to send their monthly pension </w:t>
      </w:r>
      <w:r w:rsidR="007262C0" w:rsidRPr="00676949">
        <w:rPr>
          <w:rFonts w:ascii="Times New Roman" w:eastAsia="Times New Roman" w:hAnsi="Times New Roman" w:cs="Times New Roman"/>
          <w:sz w:val="24"/>
          <w:szCs w:val="24"/>
        </w:rPr>
        <w:t xml:space="preserve">or disability </w:t>
      </w:r>
      <w:r w:rsidR="00DA0753" w:rsidRPr="00676949">
        <w:rPr>
          <w:rFonts w:ascii="Times New Roman" w:eastAsia="Times New Roman" w:hAnsi="Times New Roman" w:cs="Times New Roman"/>
          <w:sz w:val="24"/>
          <w:szCs w:val="24"/>
        </w:rPr>
        <w:t>payment</w:t>
      </w:r>
      <w:r w:rsidR="00791569" w:rsidRPr="00676949">
        <w:rPr>
          <w:rFonts w:ascii="Times New Roman" w:eastAsia="Times New Roman" w:hAnsi="Times New Roman" w:cs="Times New Roman"/>
          <w:sz w:val="24"/>
          <w:szCs w:val="24"/>
        </w:rPr>
        <w:t>s</w:t>
      </w:r>
      <w:r w:rsidR="00DA0753" w:rsidRPr="00676949">
        <w:rPr>
          <w:rFonts w:ascii="Times New Roman" w:eastAsia="Times New Roman" w:hAnsi="Times New Roman" w:cs="Times New Roman"/>
          <w:sz w:val="24"/>
          <w:szCs w:val="24"/>
        </w:rPr>
        <w:t xml:space="preserve"> directly to ULG’</w:t>
      </w:r>
      <w:r w:rsidR="00D27C59" w:rsidRPr="00676949">
        <w:rPr>
          <w:rFonts w:ascii="Times New Roman" w:eastAsia="Times New Roman" w:hAnsi="Times New Roman" w:cs="Times New Roman"/>
          <w:sz w:val="24"/>
          <w:szCs w:val="24"/>
        </w:rPr>
        <w:t>s</w:t>
      </w:r>
      <w:r w:rsidR="00DA0753" w:rsidRPr="00676949">
        <w:rPr>
          <w:rFonts w:ascii="Times New Roman" w:eastAsia="Times New Roman" w:hAnsi="Times New Roman" w:cs="Times New Roman"/>
          <w:sz w:val="24"/>
          <w:szCs w:val="24"/>
        </w:rPr>
        <w:t xml:space="preserve"> account. If the amount of </w:t>
      </w:r>
      <w:r w:rsidR="004B4DD5" w:rsidRPr="00676949">
        <w:rPr>
          <w:rFonts w:ascii="Times New Roman" w:eastAsia="Times New Roman" w:hAnsi="Times New Roman" w:cs="Times New Roman"/>
          <w:sz w:val="24"/>
          <w:szCs w:val="24"/>
        </w:rPr>
        <w:t>a</w:t>
      </w:r>
      <w:r w:rsidR="00DA0753" w:rsidRPr="00676949">
        <w:rPr>
          <w:rFonts w:ascii="Times New Roman" w:eastAsia="Times New Roman" w:hAnsi="Times New Roman" w:cs="Times New Roman"/>
          <w:sz w:val="24"/>
          <w:szCs w:val="24"/>
        </w:rPr>
        <w:t xml:space="preserve"> veteran’s monthly pension </w:t>
      </w:r>
      <w:r w:rsidR="007262C0" w:rsidRPr="00676949">
        <w:rPr>
          <w:rFonts w:ascii="Times New Roman" w:eastAsia="Times New Roman" w:hAnsi="Times New Roman" w:cs="Times New Roman"/>
          <w:sz w:val="24"/>
          <w:szCs w:val="24"/>
        </w:rPr>
        <w:t xml:space="preserve">or disability </w:t>
      </w:r>
      <w:r w:rsidR="00DA0753" w:rsidRPr="00676949">
        <w:rPr>
          <w:rFonts w:ascii="Times New Roman" w:eastAsia="Times New Roman" w:hAnsi="Times New Roman" w:cs="Times New Roman"/>
          <w:sz w:val="24"/>
          <w:szCs w:val="24"/>
        </w:rPr>
        <w:t>payment was greater than the monthly payment the veteran allegedly owed under the contact, Defendants would remit the overpayment to the veteran’s bank account.</w:t>
      </w:r>
    </w:p>
    <w:p w14:paraId="785EA5D1" w14:textId="3EEB57E0" w:rsidR="009B5AC7" w:rsidRPr="00CE5BB1" w:rsidRDefault="00DA0753" w:rsidP="00CE5BB1">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By </w:t>
      </w:r>
      <w:r w:rsidR="001D747B" w:rsidRPr="00676949">
        <w:rPr>
          <w:rFonts w:ascii="Times New Roman" w:eastAsia="Times New Roman" w:hAnsi="Times New Roman" w:cs="Times New Roman"/>
          <w:sz w:val="24"/>
          <w:szCs w:val="24"/>
        </w:rPr>
        <w:t>2018</w:t>
      </w:r>
      <w:r w:rsidRPr="00676949">
        <w:rPr>
          <w:rFonts w:ascii="Times New Roman" w:eastAsia="Times New Roman" w:hAnsi="Times New Roman" w:cs="Times New Roman"/>
          <w:sz w:val="24"/>
          <w:szCs w:val="24"/>
        </w:rPr>
        <w:t xml:space="preserve">, Defendants instructed veterans, as well as non-veteran consumers, to </w:t>
      </w:r>
      <w:r w:rsidR="004B4DD5" w:rsidRPr="00676949">
        <w:rPr>
          <w:rFonts w:ascii="Times New Roman" w:eastAsia="Times New Roman" w:hAnsi="Times New Roman" w:cs="Times New Roman"/>
          <w:sz w:val="24"/>
          <w:szCs w:val="24"/>
        </w:rPr>
        <w:t>make their</w:t>
      </w:r>
      <w:r w:rsidRPr="00676949">
        <w:rPr>
          <w:rFonts w:ascii="Times New Roman" w:eastAsia="Times New Roman" w:hAnsi="Times New Roman" w:cs="Times New Roman"/>
          <w:sz w:val="24"/>
          <w:szCs w:val="24"/>
        </w:rPr>
        <w:t xml:space="preserve"> monthly payments to ULG’</w:t>
      </w:r>
      <w:r w:rsidR="00D27C59" w:rsidRPr="00676949">
        <w:rPr>
          <w:rFonts w:ascii="Times New Roman" w:eastAsia="Times New Roman" w:hAnsi="Times New Roman" w:cs="Times New Roman"/>
          <w:sz w:val="24"/>
          <w:szCs w:val="24"/>
        </w:rPr>
        <w:t>s</w:t>
      </w:r>
      <w:r w:rsidR="004B4DD5" w:rsidRPr="00676949">
        <w:rPr>
          <w:rFonts w:ascii="Times New Roman" w:eastAsia="Times New Roman" w:hAnsi="Times New Roman" w:cs="Times New Roman"/>
          <w:sz w:val="24"/>
          <w:szCs w:val="24"/>
        </w:rPr>
        <w:t xml:space="preserve"> account via ACH </w:t>
      </w:r>
      <w:r w:rsidR="00090C98">
        <w:rPr>
          <w:rFonts w:ascii="Times New Roman" w:eastAsia="Times New Roman" w:hAnsi="Times New Roman" w:cs="Times New Roman"/>
          <w:sz w:val="24"/>
          <w:szCs w:val="24"/>
        </w:rPr>
        <w:t xml:space="preserve">transfer </w:t>
      </w:r>
      <w:r w:rsidR="004B4DD5" w:rsidRPr="00676949">
        <w:rPr>
          <w:rFonts w:ascii="Times New Roman" w:eastAsia="Times New Roman" w:hAnsi="Times New Roman" w:cs="Times New Roman"/>
          <w:sz w:val="24"/>
          <w:szCs w:val="24"/>
        </w:rPr>
        <w:t>from the consumer’s own bank account.</w:t>
      </w:r>
      <w:r w:rsidRPr="00676949">
        <w:rPr>
          <w:rFonts w:ascii="Times New Roman" w:eastAsia="Times New Roman" w:hAnsi="Times New Roman" w:cs="Times New Roman"/>
          <w:sz w:val="24"/>
          <w:szCs w:val="24"/>
        </w:rPr>
        <w:t xml:space="preserve"> </w:t>
      </w:r>
    </w:p>
    <w:p w14:paraId="620C30D8" w14:textId="77777777" w:rsidR="00CF09D3" w:rsidRPr="00676949" w:rsidRDefault="008C0134" w:rsidP="005B5A9A">
      <w:pPr>
        <w:spacing w:after="0" w:line="48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Defendants’ Role in </w:t>
      </w:r>
      <w:r w:rsidR="00CF09D3" w:rsidRPr="00676949">
        <w:rPr>
          <w:rFonts w:ascii="Times New Roman" w:eastAsia="Times New Roman" w:hAnsi="Times New Roman" w:cs="Times New Roman"/>
          <w:b/>
          <w:sz w:val="24"/>
          <w:szCs w:val="24"/>
        </w:rPr>
        <w:t>Debt Collection</w:t>
      </w:r>
    </w:p>
    <w:p w14:paraId="08BABA4B" w14:textId="50D0E50F" w:rsidR="000B5408" w:rsidRPr="00676949" w:rsidRDefault="000B5408"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If a consumer stopped making payments to ULG’s account, </w:t>
      </w:r>
      <w:r w:rsidR="001D747B" w:rsidRPr="00676949">
        <w:rPr>
          <w:rFonts w:ascii="Times New Roman" w:eastAsia="Times New Roman" w:hAnsi="Times New Roman" w:cs="Times New Roman"/>
          <w:sz w:val="24"/>
          <w:szCs w:val="24"/>
        </w:rPr>
        <w:t>Defendants</w:t>
      </w:r>
      <w:r w:rsidR="007D4076" w:rsidRPr="00676949">
        <w:rPr>
          <w:rFonts w:ascii="Times New Roman" w:eastAsia="Times New Roman" w:hAnsi="Times New Roman" w:cs="Times New Roman"/>
          <w:sz w:val="24"/>
          <w:szCs w:val="24"/>
        </w:rPr>
        <w:t xml:space="preserve"> would contact the consumer to try to get the consumer to resume payment. Kern-Fuller and Sutter were personally involved in contacting consumers to try to get them to resume payment</w:t>
      </w:r>
      <w:r w:rsidR="00F30305" w:rsidRPr="00676949">
        <w:rPr>
          <w:rFonts w:ascii="Times New Roman" w:eastAsia="Times New Roman" w:hAnsi="Times New Roman" w:cs="Times New Roman"/>
          <w:sz w:val="24"/>
          <w:szCs w:val="24"/>
        </w:rPr>
        <w:t>s</w:t>
      </w:r>
      <w:r w:rsidR="007D4076" w:rsidRPr="00676949">
        <w:rPr>
          <w:rFonts w:ascii="Times New Roman" w:eastAsia="Times New Roman" w:hAnsi="Times New Roman" w:cs="Times New Roman"/>
          <w:sz w:val="24"/>
          <w:szCs w:val="24"/>
        </w:rPr>
        <w:t xml:space="preserve">. </w:t>
      </w:r>
    </w:p>
    <w:p w14:paraId="7E899154" w14:textId="77777777" w:rsidR="00362C9F" w:rsidRPr="00676949" w:rsidRDefault="008B4683"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Many </w:t>
      </w:r>
      <w:r w:rsidR="0050184B" w:rsidRPr="00676949">
        <w:rPr>
          <w:rFonts w:ascii="Times New Roman" w:eastAsia="Times New Roman" w:hAnsi="Times New Roman" w:cs="Times New Roman"/>
          <w:sz w:val="24"/>
          <w:szCs w:val="24"/>
        </w:rPr>
        <w:t xml:space="preserve">consumers </w:t>
      </w:r>
      <w:r w:rsidRPr="00676949">
        <w:rPr>
          <w:rFonts w:ascii="Times New Roman" w:eastAsia="Times New Roman" w:hAnsi="Times New Roman" w:cs="Times New Roman"/>
          <w:sz w:val="24"/>
          <w:szCs w:val="24"/>
        </w:rPr>
        <w:t xml:space="preserve">realized the illegal nature of the transactions, </w:t>
      </w:r>
      <w:r w:rsidR="009C6DC5" w:rsidRPr="00676949">
        <w:rPr>
          <w:rFonts w:ascii="Times New Roman" w:eastAsia="Times New Roman" w:hAnsi="Times New Roman" w:cs="Times New Roman"/>
          <w:sz w:val="24"/>
          <w:szCs w:val="24"/>
        </w:rPr>
        <w:t xml:space="preserve">and some </w:t>
      </w:r>
      <w:r w:rsidR="007D4076" w:rsidRPr="00676949">
        <w:rPr>
          <w:rFonts w:ascii="Times New Roman" w:eastAsia="Times New Roman" w:hAnsi="Times New Roman" w:cs="Times New Roman"/>
          <w:sz w:val="24"/>
          <w:szCs w:val="24"/>
        </w:rPr>
        <w:t xml:space="preserve">told Defendants directly that they had stopped making payments because the transactions </w:t>
      </w:r>
      <w:r w:rsidR="004E03AB" w:rsidRPr="00676949">
        <w:rPr>
          <w:rFonts w:ascii="Times New Roman" w:eastAsia="Times New Roman" w:hAnsi="Times New Roman" w:cs="Times New Roman"/>
          <w:sz w:val="24"/>
          <w:szCs w:val="24"/>
        </w:rPr>
        <w:t>were</w:t>
      </w:r>
      <w:r w:rsidR="007D4076" w:rsidRPr="00676949">
        <w:rPr>
          <w:rFonts w:ascii="Times New Roman" w:eastAsia="Times New Roman" w:hAnsi="Times New Roman" w:cs="Times New Roman"/>
          <w:sz w:val="24"/>
          <w:szCs w:val="24"/>
        </w:rPr>
        <w:t xml:space="preserve"> illegal. </w:t>
      </w:r>
      <w:r w:rsidRPr="00676949">
        <w:rPr>
          <w:rFonts w:ascii="Times New Roman" w:eastAsia="Times New Roman" w:hAnsi="Times New Roman" w:cs="Times New Roman"/>
          <w:sz w:val="24"/>
          <w:szCs w:val="24"/>
        </w:rPr>
        <w:t xml:space="preserve">In response, Defendants repeatedly told </w:t>
      </w:r>
      <w:r w:rsidR="0050184B" w:rsidRPr="00676949">
        <w:rPr>
          <w:rFonts w:ascii="Times New Roman" w:eastAsia="Times New Roman" w:hAnsi="Times New Roman" w:cs="Times New Roman"/>
          <w:sz w:val="24"/>
          <w:szCs w:val="24"/>
        </w:rPr>
        <w:t xml:space="preserve">consumers </w:t>
      </w:r>
      <w:r w:rsidRPr="00676949">
        <w:rPr>
          <w:rFonts w:ascii="Times New Roman" w:eastAsia="Times New Roman" w:hAnsi="Times New Roman" w:cs="Times New Roman"/>
          <w:sz w:val="24"/>
          <w:szCs w:val="24"/>
        </w:rPr>
        <w:t>that the transactions were legal</w:t>
      </w:r>
      <w:r w:rsidR="004E03AB" w:rsidRPr="00676949">
        <w:rPr>
          <w:rFonts w:ascii="Times New Roman" w:eastAsia="Times New Roman" w:hAnsi="Times New Roman" w:cs="Times New Roman"/>
          <w:sz w:val="24"/>
          <w:szCs w:val="24"/>
        </w:rPr>
        <w:t xml:space="preserve"> and that they were obligated to continue making payments</w:t>
      </w:r>
      <w:r w:rsidRPr="00676949">
        <w:rPr>
          <w:rFonts w:ascii="Times New Roman" w:eastAsia="Times New Roman" w:hAnsi="Times New Roman" w:cs="Times New Roman"/>
          <w:sz w:val="24"/>
          <w:szCs w:val="24"/>
        </w:rPr>
        <w:t>.</w:t>
      </w:r>
    </w:p>
    <w:p w14:paraId="7E994BA8" w14:textId="4F1F65B7" w:rsidR="00CA71A4" w:rsidRPr="00676949" w:rsidRDefault="00CA71A4"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Before signing the contracts, consumers were made to sign a document </w:t>
      </w:r>
      <w:r w:rsidR="007C0FA7">
        <w:rPr>
          <w:rFonts w:ascii="Times New Roman" w:eastAsia="Times New Roman" w:hAnsi="Times New Roman" w:cs="Times New Roman"/>
          <w:sz w:val="24"/>
          <w:szCs w:val="24"/>
        </w:rPr>
        <w:t>stating</w:t>
      </w:r>
      <w:r w:rsidRPr="00676949">
        <w:rPr>
          <w:rFonts w:ascii="Times New Roman" w:eastAsia="Times New Roman" w:hAnsi="Times New Roman" w:cs="Times New Roman"/>
          <w:sz w:val="24"/>
          <w:szCs w:val="24"/>
        </w:rPr>
        <w:t xml:space="preserve"> that if they “breach this agreement [they] will subject [themselves] to civil and/or criminal prosecution.”</w:t>
      </w:r>
    </w:p>
    <w:p w14:paraId="59F86DE1" w14:textId="77777777" w:rsidR="004E03AB" w:rsidRPr="00676949" w:rsidRDefault="004E03AB"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sent demand letters to consumers, </w:t>
      </w:r>
      <w:r w:rsidR="006B252E" w:rsidRPr="00676949">
        <w:rPr>
          <w:rFonts w:ascii="Times New Roman" w:eastAsia="Times New Roman" w:hAnsi="Times New Roman" w:cs="Times New Roman"/>
          <w:sz w:val="24"/>
          <w:szCs w:val="24"/>
        </w:rPr>
        <w:t xml:space="preserve">signed by Kern-Fuller, telling consumers that they were “in breach of [their] obligations under the Contract of Sale” and that they needed to arrange a payment “to stay in compliance with [their] contract[.]” </w:t>
      </w:r>
    </w:p>
    <w:p w14:paraId="2A9C48B3" w14:textId="77777777" w:rsidR="004E03AB" w:rsidRPr="00676949" w:rsidRDefault="00346E89"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bookmarkStart w:id="4" w:name="_Ref28007405"/>
      <w:r w:rsidRPr="00676949">
        <w:rPr>
          <w:rFonts w:ascii="Times New Roman" w:eastAsia="Times New Roman" w:hAnsi="Times New Roman" w:cs="Times New Roman"/>
          <w:sz w:val="24"/>
          <w:szCs w:val="24"/>
        </w:rPr>
        <w:t>If a consumer</w:t>
      </w:r>
      <w:r w:rsidR="004E03AB" w:rsidRPr="00676949">
        <w:rPr>
          <w:rFonts w:ascii="Times New Roman" w:eastAsia="Times New Roman" w:hAnsi="Times New Roman" w:cs="Times New Roman"/>
          <w:sz w:val="24"/>
          <w:szCs w:val="24"/>
        </w:rPr>
        <w:t xml:space="preserve"> repeatedly failed to make payments, Defendants </w:t>
      </w:r>
      <w:r w:rsidR="006B252E" w:rsidRPr="00676949">
        <w:rPr>
          <w:rFonts w:ascii="Times New Roman" w:eastAsia="Times New Roman" w:hAnsi="Times New Roman" w:cs="Times New Roman"/>
          <w:sz w:val="24"/>
          <w:szCs w:val="24"/>
        </w:rPr>
        <w:t xml:space="preserve">would file suit </w:t>
      </w:r>
      <w:r w:rsidRPr="00676949">
        <w:rPr>
          <w:rFonts w:ascii="Times New Roman" w:eastAsia="Times New Roman" w:hAnsi="Times New Roman" w:cs="Times New Roman"/>
          <w:sz w:val="24"/>
          <w:szCs w:val="24"/>
        </w:rPr>
        <w:t>against the consumer in South Carolina state court to collect on the contract.</w:t>
      </w:r>
      <w:bookmarkEnd w:id="4"/>
      <w:r w:rsidRPr="00676949">
        <w:rPr>
          <w:rFonts w:ascii="Times New Roman" w:eastAsia="Times New Roman" w:hAnsi="Times New Roman" w:cs="Times New Roman"/>
          <w:sz w:val="24"/>
          <w:szCs w:val="24"/>
        </w:rPr>
        <w:t xml:space="preserve"> </w:t>
      </w:r>
    </w:p>
    <w:p w14:paraId="489DCD73" w14:textId="77777777" w:rsidR="009A631B" w:rsidRPr="00676949" w:rsidRDefault="009A631B" w:rsidP="00B26B02">
      <w:pPr>
        <w:spacing w:after="0" w:line="240" w:lineRule="auto"/>
        <w:ind w:firstLine="720"/>
        <w:contextualSpacing/>
        <w:rPr>
          <w:rFonts w:ascii="Times New Roman" w:eastAsia="Times New Roman" w:hAnsi="Times New Roman" w:cs="Times New Roman"/>
          <w:sz w:val="24"/>
          <w:szCs w:val="24"/>
        </w:rPr>
      </w:pPr>
    </w:p>
    <w:p w14:paraId="624FA200" w14:textId="77777777" w:rsidR="001D747B" w:rsidRPr="00676949" w:rsidRDefault="00246568" w:rsidP="006458B5">
      <w:pPr>
        <w:keepNext/>
        <w:spacing w:after="0" w:line="240" w:lineRule="auto"/>
        <w:contextualSpacing/>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Additional </w:t>
      </w:r>
      <w:r w:rsidR="003716CA" w:rsidRPr="00676949">
        <w:rPr>
          <w:rFonts w:ascii="Times New Roman" w:eastAsia="Times New Roman" w:hAnsi="Times New Roman" w:cs="Times New Roman"/>
          <w:b/>
          <w:sz w:val="24"/>
          <w:szCs w:val="24"/>
        </w:rPr>
        <w:t xml:space="preserve">Factual Background Supporting </w:t>
      </w:r>
    </w:p>
    <w:p w14:paraId="2406CFDD" w14:textId="77777777" w:rsidR="00B53BC4" w:rsidRPr="00676949" w:rsidRDefault="001D747B" w:rsidP="00CA4EDB">
      <w:pPr>
        <w:keepNext/>
        <w:spacing w:after="0" w:line="240" w:lineRule="auto"/>
        <w:contextualSpacing/>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South Carolina </w:t>
      </w:r>
      <w:r w:rsidR="003716CA" w:rsidRPr="00676949">
        <w:rPr>
          <w:rFonts w:ascii="Times New Roman" w:eastAsia="Times New Roman" w:hAnsi="Times New Roman" w:cs="Times New Roman"/>
          <w:b/>
          <w:sz w:val="24"/>
          <w:szCs w:val="24"/>
        </w:rPr>
        <w:t>State-Law Claims</w:t>
      </w:r>
    </w:p>
    <w:p w14:paraId="34612069" w14:textId="77777777" w:rsidR="00120948" w:rsidRPr="00676949" w:rsidRDefault="00120948" w:rsidP="007753CF">
      <w:pPr>
        <w:keepNext/>
        <w:spacing w:after="0" w:line="240" w:lineRule="auto"/>
        <w:ind w:firstLine="720"/>
        <w:contextualSpacing/>
        <w:jc w:val="center"/>
        <w:rPr>
          <w:rFonts w:ascii="Times New Roman" w:eastAsia="Times New Roman" w:hAnsi="Times New Roman" w:cs="Times New Roman"/>
          <w:b/>
          <w:sz w:val="24"/>
          <w:szCs w:val="24"/>
        </w:rPr>
      </w:pPr>
    </w:p>
    <w:p w14:paraId="0D252ECB" w14:textId="1952EB05" w:rsidR="00B53BC4" w:rsidRPr="00676949" w:rsidRDefault="00B53BC4" w:rsidP="007753CF">
      <w:pPr>
        <w:spacing w:after="0" w:line="480" w:lineRule="auto"/>
        <w:ind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In support of the sta</w:t>
      </w:r>
      <w:r w:rsidR="005F419B" w:rsidRPr="00676949">
        <w:rPr>
          <w:rFonts w:ascii="Times New Roman" w:eastAsia="Times New Roman" w:hAnsi="Times New Roman" w:cs="Times New Roman"/>
          <w:sz w:val="24"/>
          <w:szCs w:val="24"/>
        </w:rPr>
        <w:t xml:space="preserve">te-law claims asserted in </w:t>
      </w:r>
      <w:r w:rsidR="0024613E" w:rsidRPr="00676949">
        <w:rPr>
          <w:rFonts w:ascii="Times New Roman" w:eastAsia="Times New Roman" w:hAnsi="Times New Roman" w:cs="Times New Roman"/>
          <w:sz w:val="24"/>
          <w:szCs w:val="24"/>
        </w:rPr>
        <w:t>Count</w:t>
      </w:r>
      <w:r w:rsidRPr="00676949">
        <w:rPr>
          <w:rFonts w:ascii="Times New Roman" w:eastAsia="Times New Roman" w:hAnsi="Times New Roman" w:cs="Times New Roman"/>
          <w:sz w:val="24"/>
          <w:szCs w:val="24"/>
        </w:rPr>
        <w:t xml:space="preserve"> </w:t>
      </w:r>
      <w:r w:rsidR="0043063F" w:rsidRPr="00676949">
        <w:rPr>
          <w:rFonts w:ascii="Times New Roman" w:eastAsia="Times New Roman" w:hAnsi="Times New Roman" w:cs="Times New Roman"/>
          <w:sz w:val="24"/>
          <w:szCs w:val="24"/>
        </w:rPr>
        <w:t>V</w:t>
      </w:r>
      <w:r w:rsidR="006B4D41" w:rsidRPr="00676949">
        <w:rPr>
          <w:rFonts w:ascii="Times New Roman" w:eastAsia="Times New Roman" w:hAnsi="Times New Roman" w:cs="Times New Roman"/>
          <w:sz w:val="24"/>
          <w:szCs w:val="24"/>
        </w:rPr>
        <w:t>I</w:t>
      </w:r>
      <w:r w:rsidRPr="00676949">
        <w:rPr>
          <w:rFonts w:ascii="Times New Roman" w:eastAsia="Times New Roman" w:hAnsi="Times New Roman" w:cs="Times New Roman"/>
          <w:sz w:val="24"/>
          <w:szCs w:val="24"/>
        </w:rPr>
        <w:t xml:space="preserve">, </w:t>
      </w:r>
      <w:r w:rsidR="009832D0">
        <w:rPr>
          <w:rFonts w:ascii="Times New Roman" w:eastAsia="Times New Roman" w:hAnsi="Times New Roman" w:cs="Times New Roman"/>
          <w:sz w:val="24"/>
          <w:szCs w:val="24"/>
        </w:rPr>
        <w:t>the Department</w:t>
      </w:r>
      <w:r w:rsidRPr="00676949">
        <w:rPr>
          <w:rFonts w:ascii="Times New Roman" w:eastAsia="Times New Roman" w:hAnsi="Times New Roman" w:cs="Times New Roman"/>
          <w:sz w:val="24"/>
          <w:szCs w:val="24"/>
        </w:rPr>
        <w:t xml:space="preserve"> further alleges as follows:</w:t>
      </w:r>
    </w:p>
    <w:p w14:paraId="6680E2A2" w14:textId="77777777" w:rsidR="00ED58FF" w:rsidRPr="00676949" w:rsidRDefault="004956FC"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Although </w:t>
      </w:r>
      <w:r w:rsidR="009C6DC5" w:rsidRPr="00676949">
        <w:rPr>
          <w:rFonts w:ascii="Times New Roman" w:eastAsia="Times New Roman" w:hAnsi="Times New Roman" w:cs="Times New Roman"/>
          <w:sz w:val="24"/>
          <w:szCs w:val="24"/>
        </w:rPr>
        <w:t>the Broker Companies</w:t>
      </w:r>
      <w:r w:rsidRPr="00676949">
        <w:rPr>
          <w:rFonts w:ascii="Times New Roman" w:eastAsia="Times New Roman" w:hAnsi="Times New Roman" w:cs="Times New Roman"/>
          <w:sz w:val="24"/>
          <w:szCs w:val="24"/>
        </w:rPr>
        <w:t xml:space="preserve"> characterize</w:t>
      </w:r>
      <w:r w:rsidR="00653AF4" w:rsidRPr="00676949">
        <w:rPr>
          <w:rFonts w:ascii="Times New Roman" w:eastAsia="Times New Roman" w:hAnsi="Times New Roman" w:cs="Times New Roman"/>
          <w:sz w:val="24"/>
          <w:szCs w:val="24"/>
        </w:rPr>
        <w:t>d</w:t>
      </w:r>
      <w:r w:rsidRPr="00676949">
        <w:rPr>
          <w:rFonts w:ascii="Times New Roman" w:eastAsia="Times New Roman" w:hAnsi="Times New Roman" w:cs="Times New Roman"/>
          <w:sz w:val="24"/>
          <w:szCs w:val="24"/>
        </w:rPr>
        <w:t xml:space="preserve"> the contracts as “sales of payments,” the </w:t>
      </w:r>
      <w:r w:rsidR="00ED58FF" w:rsidRPr="00676949">
        <w:rPr>
          <w:rFonts w:ascii="Times New Roman" w:eastAsia="Times New Roman" w:hAnsi="Times New Roman" w:cs="Times New Roman"/>
          <w:sz w:val="24"/>
          <w:szCs w:val="24"/>
        </w:rPr>
        <w:t xml:space="preserve">transactions </w:t>
      </w:r>
      <w:r w:rsidR="00ED260B" w:rsidRPr="00676949">
        <w:rPr>
          <w:rFonts w:ascii="Times New Roman" w:eastAsia="Times New Roman" w:hAnsi="Times New Roman" w:cs="Times New Roman"/>
          <w:sz w:val="24"/>
          <w:szCs w:val="24"/>
        </w:rPr>
        <w:t>were</w:t>
      </w:r>
      <w:r w:rsidR="00ED58FF" w:rsidRPr="00676949">
        <w:rPr>
          <w:rFonts w:ascii="Times New Roman" w:eastAsia="Times New Roman" w:hAnsi="Times New Roman" w:cs="Times New Roman"/>
          <w:sz w:val="24"/>
          <w:szCs w:val="24"/>
        </w:rPr>
        <w:t xml:space="preserve"> loans under </w:t>
      </w:r>
      <w:r w:rsidR="003716CA" w:rsidRPr="00676949">
        <w:rPr>
          <w:rFonts w:ascii="Times New Roman" w:eastAsia="Times New Roman" w:hAnsi="Times New Roman" w:cs="Times New Roman"/>
          <w:sz w:val="24"/>
          <w:szCs w:val="24"/>
        </w:rPr>
        <w:t>South Carolina law</w:t>
      </w:r>
      <w:r w:rsidR="00ED58FF" w:rsidRPr="00676949">
        <w:rPr>
          <w:rFonts w:ascii="Times New Roman" w:eastAsia="Times New Roman" w:hAnsi="Times New Roman" w:cs="Times New Roman"/>
          <w:sz w:val="24"/>
          <w:szCs w:val="24"/>
        </w:rPr>
        <w:t>.</w:t>
      </w:r>
    </w:p>
    <w:p w14:paraId="7983463A" w14:textId="77777777" w:rsidR="00B0536D" w:rsidRPr="00676949" w:rsidRDefault="005D6033" w:rsidP="007753CF">
      <w:pPr>
        <w:numPr>
          <w:ilvl w:val="0"/>
          <w:numId w:val="1"/>
        </w:numPr>
        <w:spacing w:after="0" w:line="480" w:lineRule="auto"/>
        <w:ind w:left="0" w:firstLine="720"/>
        <w:contextualSpacing/>
        <w:rPr>
          <w:rFonts w:ascii="Times New Roman" w:eastAsia="Times New Roman" w:hAnsi="Times New Roman" w:cs="Times New Roman"/>
          <w:b/>
          <w:sz w:val="24"/>
          <w:szCs w:val="24"/>
        </w:rPr>
      </w:pPr>
      <w:r w:rsidRPr="00676949">
        <w:rPr>
          <w:rFonts w:ascii="Times New Roman" w:eastAsia="Times New Roman" w:hAnsi="Times New Roman" w:cs="Times New Roman"/>
          <w:sz w:val="24"/>
          <w:szCs w:val="24"/>
        </w:rPr>
        <w:t>The Broker Companies</w:t>
      </w:r>
      <w:r w:rsidR="004D6151" w:rsidRPr="00676949">
        <w:rPr>
          <w:rFonts w:ascii="Times New Roman" w:eastAsia="Times New Roman" w:hAnsi="Times New Roman" w:cs="Times New Roman"/>
          <w:sz w:val="24"/>
          <w:szCs w:val="24"/>
        </w:rPr>
        <w:t xml:space="preserve"> brokered consumer loans with loan finance charges in excess of 12% a year.</w:t>
      </w:r>
    </w:p>
    <w:p w14:paraId="3C2A160F" w14:textId="77777777" w:rsidR="005D6033" w:rsidRPr="00676949" w:rsidRDefault="005D6033" w:rsidP="00B26B02">
      <w:pPr>
        <w:spacing w:after="0" w:line="240" w:lineRule="auto"/>
        <w:ind w:firstLine="720"/>
        <w:contextualSpacing/>
        <w:rPr>
          <w:rFonts w:ascii="Times New Roman" w:eastAsia="Times New Roman" w:hAnsi="Times New Roman" w:cs="Times New Roman"/>
          <w:b/>
          <w:sz w:val="24"/>
          <w:szCs w:val="24"/>
        </w:rPr>
      </w:pPr>
    </w:p>
    <w:p w14:paraId="359D0202" w14:textId="77777777" w:rsidR="00362C9F" w:rsidRPr="00676949" w:rsidRDefault="00362C9F" w:rsidP="005737A1">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Count I</w:t>
      </w:r>
    </w:p>
    <w:p w14:paraId="3B8BE4E8" w14:textId="77777777" w:rsidR="00CB58A0" w:rsidRPr="00676949" w:rsidRDefault="004D2210" w:rsidP="005B5A9A">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Substantial Assistance for </w:t>
      </w:r>
    </w:p>
    <w:p w14:paraId="6475FF06" w14:textId="56CB34EB" w:rsidR="00362C9F" w:rsidRPr="00676949" w:rsidRDefault="00362C9F" w:rsidP="005B5A9A">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Deceptive Acts or Practices, in Violation of the CFPA</w:t>
      </w:r>
      <w:r w:rsidR="00CB58A0" w:rsidRPr="00676949">
        <w:rPr>
          <w:rFonts w:ascii="Times New Roman" w:eastAsia="Times New Roman" w:hAnsi="Times New Roman" w:cs="Times New Roman"/>
          <w:b/>
          <w:sz w:val="24"/>
          <w:szCs w:val="24"/>
        </w:rPr>
        <w:t>,</w:t>
      </w:r>
    </w:p>
    <w:p w14:paraId="1DC58676" w14:textId="625AF8BE" w:rsidR="00EE4B18" w:rsidRPr="00676949" w:rsidRDefault="00EE4B18" w:rsidP="005B5A9A">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Asserted by the Bureau</w:t>
      </w:r>
      <w:r w:rsidR="005F419B" w:rsidRPr="00676949">
        <w:rPr>
          <w:rFonts w:ascii="Times New Roman" w:eastAsia="Times New Roman" w:hAnsi="Times New Roman" w:cs="Times New Roman"/>
          <w:b/>
          <w:sz w:val="24"/>
          <w:szCs w:val="24"/>
        </w:rPr>
        <w:t xml:space="preserve">, </w:t>
      </w:r>
      <w:r w:rsidR="009832D0">
        <w:rPr>
          <w:rFonts w:ascii="Times New Roman" w:eastAsia="Times New Roman" w:hAnsi="Times New Roman" w:cs="Times New Roman"/>
          <w:b/>
          <w:sz w:val="24"/>
          <w:szCs w:val="24"/>
        </w:rPr>
        <w:t>the Department</w:t>
      </w:r>
      <w:r w:rsidR="005F419B" w:rsidRPr="00676949">
        <w:rPr>
          <w:rFonts w:ascii="Times New Roman" w:eastAsia="Times New Roman" w:hAnsi="Times New Roman" w:cs="Times New Roman"/>
          <w:b/>
          <w:sz w:val="24"/>
          <w:szCs w:val="24"/>
        </w:rPr>
        <w:t>, and Arkansas</w:t>
      </w:r>
      <w:r w:rsidR="00E87190" w:rsidRPr="00676949">
        <w:rPr>
          <w:rFonts w:ascii="Times New Roman" w:eastAsia="Times New Roman" w:hAnsi="Times New Roman" w:cs="Times New Roman"/>
          <w:b/>
          <w:sz w:val="24"/>
          <w:szCs w:val="24"/>
        </w:rPr>
        <w:t xml:space="preserve"> </w:t>
      </w:r>
    </w:p>
    <w:p w14:paraId="3DC42B51" w14:textId="77777777" w:rsidR="00B0536D" w:rsidRPr="00676949" w:rsidRDefault="00B0536D" w:rsidP="007753CF">
      <w:pPr>
        <w:keepNext/>
        <w:spacing w:after="0" w:line="240" w:lineRule="auto"/>
        <w:ind w:firstLine="720"/>
        <w:jc w:val="center"/>
        <w:rPr>
          <w:rFonts w:ascii="Times New Roman" w:eastAsia="Times New Roman" w:hAnsi="Times New Roman" w:cs="Times New Roman"/>
          <w:b/>
          <w:sz w:val="24"/>
          <w:szCs w:val="24"/>
        </w:rPr>
      </w:pPr>
    </w:p>
    <w:p w14:paraId="29BEA316" w14:textId="77777777" w:rsidR="00362C9F" w:rsidRPr="00676949" w:rsidRDefault="00362C9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a</w:t>
      </w:r>
      <w:r w:rsidR="00854F7B" w:rsidRPr="00676949">
        <w:rPr>
          <w:rFonts w:ascii="Times New Roman" w:eastAsia="Times New Roman" w:hAnsi="Times New Roman" w:cs="Times New Roman"/>
          <w:sz w:val="24"/>
          <w:szCs w:val="24"/>
        </w:rPr>
        <w:t xml:space="preserve">llegations in paragraphs 1 to </w:t>
      </w:r>
      <w:r w:rsidR="0046139C" w:rsidRPr="00676949">
        <w:rPr>
          <w:rFonts w:ascii="Times New Roman" w:eastAsia="Times New Roman" w:hAnsi="Times New Roman" w:cs="Times New Roman"/>
          <w:sz w:val="24"/>
          <w:szCs w:val="24"/>
        </w:rPr>
        <w:fldChar w:fldCharType="begin"/>
      </w:r>
      <w:r w:rsidR="0046139C" w:rsidRPr="00676949">
        <w:rPr>
          <w:rFonts w:ascii="Times New Roman" w:eastAsia="Times New Roman" w:hAnsi="Times New Roman" w:cs="Times New Roman"/>
          <w:sz w:val="24"/>
          <w:szCs w:val="24"/>
        </w:rPr>
        <w:instrText xml:space="preserve"> REF _Ref28007405 \r \h  \* MERGEFORMAT </w:instrText>
      </w:r>
      <w:r w:rsidR="0046139C" w:rsidRPr="00676949">
        <w:rPr>
          <w:rFonts w:ascii="Times New Roman" w:eastAsia="Times New Roman" w:hAnsi="Times New Roman" w:cs="Times New Roman"/>
          <w:sz w:val="24"/>
          <w:szCs w:val="24"/>
        </w:rPr>
      </w:r>
      <w:r w:rsidR="0046139C" w:rsidRPr="00676949">
        <w:rPr>
          <w:rFonts w:ascii="Times New Roman" w:eastAsia="Times New Roman" w:hAnsi="Times New Roman" w:cs="Times New Roman"/>
          <w:sz w:val="24"/>
          <w:szCs w:val="24"/>
        </w:rPr>
        <w:fldChar w:fldCharType="separate"/>
      </w:r>
      <w:r w:rsidR="0046139C" w:rsidRPr="00676949">
        <w:rPr>
          <w:rFonts w:ascii="Times New Roman" w:eastAsia="Times New Roman" w:hAnsi="Times New Roman" w:cs="Times New Roman"/>
          <w:sz w:val="24"/>
          <w:szCs w:val="24"/>
        </w:rPr>
        <w:t>3</w:t>
      </w:r>
      <w:r w:rsidR="0046139C" w:rsidRPr="00676949">
        <w:rPr>
          <w:rFonts w:ascii="Times New Roman" w:eastAsia="Times New Roman" w:hAnsi="Times New Roman" w:cs="Times New Roman"/>
          <w:sz w:val="24"/>
          <w:szCs w:val="24"/>
        </w:rPr>
        <w:fldChar w:fldCharType="end"/>
      </w:r>
      <w:r w:rsidR="00D12BB3" w:rsidRPr="00676949">
        <w:rPr>
          <w:rFonts w:ascii="Times New Roman" w:eastAsia="Times New Roman" w:hAnsi="Times New Roman" w:cs="Times New Roman"/>
          <w:sz w:val="24"/>
          <w:szCs w:val="24"/>
        </w:rPr>
        <w:t>4</w:t>
      </w:r>
      <w:r w:rsidRPr="00676949">
        <w:rPr>
          <w:rFonts w:ascii="Times New Roman" w:eastAsia="Times New Roman" w:hAnsi="Times New Roman" w:cs="Times New Roman"/>
          <w:sz w:val="24"/>
          <w:szCs w:val="24"/>
        </w:rPr>
        <w:t xml:space="preserve"> are incorporated here by reference.</w:t>
      </w:r>
    </w:p>
    <w:p w14:paraId="1183429C" w14:textId="77777777" w:rsidR="004D2210" w:rsidRPr="00676949" w:rsidRDefault="004D221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 are covered persons under the CFPA because they engaged in brokering extensions of credit to consumers. 12 U.S.C. § 5481(5)-(7), (15)(A)(i).</w:t>
      </w:r>
    </w:p>
    <w:p w14:paraId="739F1650" w14:textId="77777777" w:rsidR="008B1A60" w:rsidRPr="00676949" w:rsidRDefault="008B1A6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An act or practice is deceptive if it involves a material misrepresentation or omission that is likely to mislead consumers acting reasonably under the circumstances. </w:t>
      </w:r>
    </w:p>
    <w:p w14:paraId="3927EB61" w14:textId="77777777" w:rsidR="008B1A60" w:rsidRPr="00676949" w:rsidRDefault="008B1A6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Calibri" w:hAnsi="Times New Roman" w:cs="Times New Roman"/>
          <w:sz w:val="24"/>
          <w:szCs w:val="24"/>
        </w:rPr>
        <w:t xml:space="preserve">Information that is material to consumers is information that is likely to affect a consumer’s choice of, or conduct regarding, a product or service. </w:t>
      </w:r>
    </w:p>
    <w:p w14:paraId="4B7DCCDE" w14:textId="780E3B93" w:rsidR="008B1A60" w:rsidRPr="00676949" w:rsidRDefault="008B1A60" w:rsidP="007753CF">
      <w:pPr>
        <w:pStyle w:val="ListParagraph"/>
        <w:numPr>
          <w:ilvl w:val="0"/>
          <w:numId w:val="1"/>
        </w:numPr>
        <w:spacing w:after="0" w:line="480" w:lineRule="auto"/>
        <w:ind w:left="0" w:firstLine="720"/>
        <w:rPr>
          <w:rFonts w:ascii="Times New Roman" w:eastAsia="Calibri" w:hAnsi="Times New Roman" w:cs="Times New Roman"/>
          <w:sz w:val="24"/>
          <w:szCs w:val="24"/>
        </w:rPr>
      </w:pPr>
      <w:r w:rsidRPr="00676949">
        <w:rPr>
          <w:rFonts w:ascii="Times New Roman" w:eastAsia="Calibri" w:hAnsi="Times New Roman" w:cs="Times New Roman"/>
          <w:sz w:val="24"/>
          <w:szCs w:val="24"/>
        </w:rPr>
        <w:t xml:space="preserve">The contracts brokered by the Broker Companies </w:t>
      </w:r>
      <w:r w:rsidR="00C46E34">
        <w:rPr>
          <w:rFonts w:ascii="Times New Roman" w:eastAsia="Calibri" w:hAnsi="Times New Roman" w:cs="Times New Roman"/>
          <w:sz w:val="24"/>
          <w:szCs w:val="24"/>
        </w:rPr>
        <w:t>were</w:t>
      </w:r>
      <w:r w:rsidRPr="00676949">
        <w:rPr>
          <w:rFonts w:ascii="Times New Roman" w:eastAsia="Calibri" w:hAnsi="Times New Roman" w:cs="Times New Roman"/>
          <w:sz w:val="24"/>
          <w:szCs w:val="24"/>
        </w:rPr>
        <w:t xml:space="preserve"> void from inception because federal law prohibits agreements under which another person acquires the right to receive a veteran’s pension </w:t>
      </w:r>
      <w:r w:rsidR="007262C0" w:rsidRPr="00676949">
        <w:rPr>
          <w:rFonts w:ascii="Times New Roman" w:eastAsia="Calibri" w:hAnsi="Times New Roman" w:cs="Times New Roman"/>
          <w:sz w:val="24"/>
          <w:szCs w:val="24"/>
        </w:rPr>
        <w:t xml:space="preserve">or disability </w:t>
      </w:r>
      <w:r w:rsidRPr="00676949">
        <w:rPr>
          <w:rFonts w:ascii="Times New Roman" w:eastAsia="Calibri" w:hAnsi="Times New Roman" w:cs="Times New Roman"/>
          <w:sz w:val="24"/>
          <w:szCs w:val="24"/>
        </w:rPr>
        <w:t>payments, 38 U.S.C. §</w:t>
      </w:r>
      <w:r w:rsidR="00BE7357" w:rsidRPr="00676949">
        <w:rPr>
          <w:rFonts w:ascii="Times New Roman" w:eastAsia="Calibri" w:hAnsi="Times New Roman" w:cs="Times New Roman"/>
          <w:sz w:val="24"/>
          <w:szCs w:val="24"/>
        </w:rPr>
        <w:t> </w:t>
      </w:r>
      <w:r w:rsidRPr="00676949">
        <w:rPr>
          <w:rFonts w:ascii="Times New Roman" w:eastAsia="Calibri" w:hAnsi="Times New Roman" w:cs="Times New Roman"/>
          <w:sz w:val="24"/>
          <w:szCs w:val="24"/>
        </w:rPr>
        <w:t xml:space="preserve">5301, and because South Carolina law, which governs the contracts, prohibits sales of unpaid earnings and prohibits </w:t>
      </w:r>
      <w:r w:rsidRPr="00676949">
        <w:rPr>
          <w:rFonts w:ascii="Times New Roman" w:eastAsia="Times New Roman" w:hAnsi="Times New Roman" w:cs="Times New Roman"/>
          <w:sz w:val="24"/>
          <w:szCs w:val="24"/>
        </w:rPr>
        <w:t>assignments of pensions as security on payment of a debt</w:t>
      </w:r>
      <w:r w:rsidRPr="00676949">
        <w:rPr>
          <w:rFonts w:ascii="Times New Roman" w:eastAsia="Calibri" w:hAnsi="Times New Roman" w:cs="Times New Roman"/>
          <w:sz w:val="24"/>
          <w:szCs w:val="24"/>
        </w:rPr>
        <w:t xml:space="preserve">, </w:t>
      </w:r>
      <w:r w:rsidRPr="00676949">
        <w:rPr>
          <w:rFonts w:ascii="Times New Roman" w:eastAsia="Times New Roman" w:hAnsi="Times New Roman" w:cs="Times New Roman"/>
          <w:sz w:val="24"/>
          <w:szCs w:val="24"/>
        </w:rPr>
        <w:t>S.C. Code Ann. § 37-3-403</w:t>
      </w:r>
      <w:r w:rsidRPr="00676949">
        <w:rPr>
          <w:rFonts w:ascii="Times New Roman" w:eastAsia="Calibri" w:hAnsi="Times New Roman" w:cs="Times New Roman"/>
          <w:sz w:val="24"/>
          <w:szCs w:val="24"/>
        </w:rPr>
        <w:t>.</w:t>
      </w:r>
    </w:p>
    <w:p w14:paraId="34293851" w14:textId="37323C30" w:rsidR="008B1A60" w:rsidRPr="00676949" w:rsidRDefault="008B1A60"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Broker Companies repeatedly misrepresented to consumers that the contracts they brokered are valid and enforceable. In fact, the contracts </w:t>
      </w:r>
      <w:r w:rsidR="00C46E34">
        <w:rPr>
          <w:rFonts w:ascii="Times New Roman" w:eastAsia="Times New Roman" w:hAnsi="Times New Roman" w:cs="Times New Roman"/>
          <w:sz w:val="24"/>
          <w:szCs w:val="24"/>
        </w:rPr>
        <w:t>are</w:t>
      </w:r>
      <w:r w:rsidRPr="00676949">
        <w:rPr>
          <w:rFonts w:ascii="Times New Roman" w:eastAsia="Times New Roman" w:hAnsi="Times New Roman" w:cs="Times New Roman"/>
          <w:sz w:val="24"/>
          <w:szCs w:val="24"/>
        </w:rPr>
        <w:t xml:space="preserve"> void and illegal because assignments of veterans’ pensions are prohibited by federal law, and sales of unpaid earnings and assignments of pensions as security on payment of a debt are prohibited under South Carolina law. </w:t>
      </w:r>
    </w:p>
    <w:p w14:paraId="2C6242D5" w14:textId="77777777" w:rsidR="008B1A60" w:rsidRPr="00676949" w:rsidRDefault="008B1A60"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Broker Companies’ misrepresentations of the contracts as valid and enforceable and their failure to disclose the illegality of the contracts </w:t>
      </w:r>
      <w:r w:rsidR="00EC274A" w:rsidRPr="00676949">
        <w:rPr>
          <w:rFonts w:ascii="Times New Roman" w:eastAsia="Times New Roman" w:hAnsi="Times New Roman" w:cs="Times New Roman"/>
          <w:sz w:val="24"/>
          <w:szCs w:val="24"/>
        </w:rPr>
        <w:t>were</w:t>
      </w:r>
      <w:r w:rsidRPr="00676949">
        <w:rPr>
          <w:rFonts w:ascii="Times New Roman" w:eastAsia="Times New Roman" w:hAnsi="Times New Roman" w:cs="Times New Roman"/>
          <w:sz w:val="24"/>
          <w:szCs w:val="24"/>
        </w:rPr>
        <w:t xml:space="preserve"> likely to mislead consumers acting reasonably under the circumstances.</w:t>
      </w:r>
    </w:p>
    <w:p w14:paraId="50AAC330" w14:textId="77777777" w:rsidR="008B1A60" w:rsidRPr="00676949" w:rsidRDefault="008B1A6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Broker Companies’ misrepresentations and omissions </w:t>
      </w:r>
      <w:r w:rsidR="00EC274A" w:rsidRPr="00676949">
        <w:rPr>
          <w:rFonts w:ascii="Times New Roman" w:eastAsia="Times New Roman" w:hAnsi="Times New Roman" w:cs="Times New Roman"/>
          <w:sz w:val="24"/>
          <w:szCs w:val="24"/>
        </w:rPr>
        <w:t>were</w:t>
      </w:r>
      <w:r w:rsidRPr="00676949">
        <w:rPr>
          <w:rFonts w:ascii="Times New Roman" w:eastAsia="Times New Roman" w:hAnsi="Times New Roman" w:cs="Times New Roman"/>
          <w:sz w:val="24"/>
          <w:szCs w:val="24"/>
        </w:rPr>
        <w:t xml:space="preserve"> material because they </w:t>
      </w:r>
      <w:r w:rsidR="00EC274A" w:rsidRPr="00676949">
        <w:rPr>
          <w:rFonts w:ascii="Times New Roman" w:eastAsia="Times New Roman" w:hAnsi="Times New Roman" w:cs="Times New Roman"/>
          <w:sz w:val="24"/>
          <w:szCs w:val="24"/>
        </w:rPr>
        <w:t>were</w:t>
      </w:r>
      <w:r w:rsidRPr="00676949">
        <w:rPr>
          <w:rFonts w:ascii="Times New Roman" w:eastAsia="Times New Roman" w:hAnsi="Times New Roman" w:cs="Times New Roman"/>
          <w:sz w:val="24"/>
          <w:szCs w:val="24"/>
        </w:rPr>
        <w:t xml:space="preserve"> likely to influence the decisions of consumers acting reasonably under the circumstances</w:t>
      </w:r>
      <w:r w:rsidR="007973C8" w:rsidRPr="00676949">
        <w:rPr>
          <w:rFonts w:ascii="Times New Roman" w:eastAsia="Times New Roman" w:hAnsi="Times New Roman" w:cs="Times New Roman"/>
          <w:sz w:val="24"/>
          <w:szCs w:val="24"/>
        </w:rPr>
        <w:t xml:space="preserve">, </w:t>
      </w:r>
      <w:r w:rsidR="009A5C87" w:rsidRPr="00676949">
        <w:rPr>
          <w:rFonts w:ascii="Times New Roman" w:eastAsia="Times New Roman" w:hAnsi="Times New Roman" w:cs="Times New Roman"/>
          <w:sz w:val="24"/>
          <w:szCs w:val="24"/>
        </w:rPr>
        <w:t>including by</w:t>
      </w:r>
      <w:r w:rsidR="007973C8" w:rsidRPr="00676949">
        <w:rPr>
          <w:rFonts w:ascii="Times New Roman" w:eastAsia="Times New Roman" w:hAnsi="Times New Roman" w:cs="Times New Roman"/>
          <w:sz w:val="24"/>
          <w:szCs w:val="24"/>
        </w:rPr>
        <w:t xml:space="preserve"> </w:t>
      </w:r>
      <w:r w:rsidR="00106206" w:rsidRPr="00676949">
        <w:rPr>
          <w:rFonts w:ascii="Times New Roman" w:eastAsia="Times New Roman" w:hAnsi="Times New Roman" w:cs="Times New Roman"/>
          <w:sz w:val="24"/>
          <w:szCs w:val="24"/>
        </w:rPr>
        <w:t>leading</w:t>
      </w:r>
      <w:r w:rsidR="009A5C87" w:rsidRPr="00676949">
        <w:rPr>
          <w:rFonts w:ascii="Times New Roman" w:eastAsia="Times New Roman" w:hAnsi="Times New Roman" w:cs="Times New Roman"/>
          <w:sz w:val="24"/>
          <w:szCs w:val="24"/>
        </w:rPr>
        <w:t xml:space="preserve"> consumers to </w:t>
      </w:r>
      <w:r w:rsidR="00106206" w:rsidRPr="00676949">
        <w:rPr>
          <w:rFonts w:ascii="Times New Roman" w:eastAsia="Times New Roman" w:hAnsi="Times New Roman" w:cs="Times New Roman"/>
          <w:sz w:val="24"/>
          <w:szCs w:val="24"/>
        </w:rPr>
        <w:t>believe that</w:t>
      </w:r>
      <w:r w:rsidR="002E0D09" w:rsidRPr="00676949">
        <w:rPr>
          <w:rFonts w:ascii="Times New Roman" w:eastAsia="Times New Roman" w:hAnsi="Times New Roman" w:cs="Times New Roman"/>
          <w:sz w:val="24"/>
          <w:szCs w:val="24"/>
        </w:rPr>
        <w:t xml:space="preserve"> it was legal to sell or assign</w:t>
      </w:r>
      <w:r w:rsidR="00106206" w:rsidRPr="00676949">
        <w:rPr>
          <w:rFonts w:ascii="Times New Roman" w:eastAsia="Times New Roman" w:hAnsi="Times New Roman" w:cs="Times New Roman"/>
          <w:sz w:val="24"/>
          <w:szCs w:val="24"/>
        </w:rPr>
        <w:t xml:space="preserve"> their pensions</w:t>
      </w:r>
      <w:r w:rsidRPr="00676949">
        <w:rPr>
          <w:rFonts w:ascii="Times New Roman" w:eastAsia="Times New Roman" w:hAnsi="Times New Roman" w:cs="Times New Roman"/>
          <w:sz w:val="24"/>
          <w:szCs w:val="24"/>
        </w:rPr>
        <w:t>.</w:t>
      </w:r>
    </w:p>
    <w:p w14:paraId="420EF229" w14:textId="77777777" w:rsidR="008B1A60" w:rsidRPr="00676949" w:rsidRDefault="008B1A60"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Calibri" w:hAnsi="Times New Roman" w:cs="Times New Roman"/>
          <w:sz w:val="24"/>
          <w:szCs w:val="24"/>
        </w:rPr>
        <w:t xml:space="preserve">Therefore, </w:t>
      </w:r>
      <w:r w:rsidRPr="00676949">
        <w:rPr>
          <w:rFonts w:ascii="Times New Roman" w:eastAsia="MS PMincho" w:hAnsi="Times New Roman" w:cs="Times New Roman"/>
          <w:sz w:val="24"/>
          <w:szCs w:val="24"/>
        </w:rPr>
        <w:t xml:space="preserve">the Broker Companies engaged in deceptive acts </w:t>
      </w:r>
      <w:r w:rsidR="005737A1" w:rsidRPr="00676949">
        <w:rPr>
          <w:rFonts w:ascii="Times New Roman" w:eastAsia="MS PMincho" w:hAnsi="Times New Roman" w:cs="Times New Roman"/>
          <w:sz w:val="24"/>
          <w:szCs w:val="24"/>
        </w:rPr>
        <w:t xml:space="preserve">or </w:t>
      </w:r>
      <w:r w:rsidRPr="00676949">
        <w:rPr>
          <w:rFonts w:ascii="Times New Roman" w:eastAsia="MS PMincho" w:hAnsi="Times New Roman" w:cs="Times New Roman"/>
          <w:sz w:val="24"/>
          <w:szCs w:val="24"/>
        </w:rPr>
        <w:t xml:space="preserve">practices in violation of the CFPA. </w:t>
      </w:r>
      <w:r w:rsidRPr="00676949">
        <w:rPr>
          <w:rFonts w:ascii="Times New Roman" w:eastAsia="Times New Roman" w:hAnsi="Times New Roman" w:cs="Times New Roman"/>
          <w:sz w:val="24"/>
          <w:szCs w:val="24"/>
        </w:rPr>
        <w:t>12 U.S.C.</w:t>
      </w:r>
      <w:r w:rsidRPr="00676949">
        <w:rPr>
          <w:rFonts w:ascii="Times New Roman" w:hAnsi="Times New Roman" w:cs="Times New Roman"/>
          <w:sz w:val="24"/>
          <w:szCs w:val="24"/>
        </w:rPr>
        <w:t xml:space="preserve"> </w:t>
      </w:r>
      <w:r w:rsidRPr="00676949">
        <w:rPr>
          <w:rFonts w:ascii="Times New Roman" w:eastAsia="Times New Roman" w:hAnsi="Times New Roman" w:cs="Times New Roman"/>
          <w:sz w:val="24"/>
          <w:szCs w:val="24"/>
        </w:rPr>
        <w:t>§§ 5531(a), 5536(a)(1)(B).</w:t>
      </w:r>
    </w:p>
    <w:p w14:paraId="526CF40C" w14:textId="77777777" w:rsidR="002D5EA4" w:rsidRPr="00676949" w:rsidRDefault="006E223C"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I</w:t>
      </w:r>
      <w:r w:rsidR="002D5EA4" w:rsidRPr="00676949">
        <w:rPr>
          <w:rFonts w:ascii="Times New Roman" w:eastAsia="Times New Roman" w:hAnsi="Times New Roman" w:cs="Times New Roman"/>
          <w:sz w:val="24"/>
          <w:szCs w:val="24"/>
        </w:rPr>
        <w:t xml:space="preserve">t is unlawful for any person to knowingly or recklessly provide substantial assistance to a covered person in violation of </w:t>
      </w:r>
      <w:r w:rsidR="00791569" w:rsidRPr="00676949">
        <w:rPr>
          <w:rFonts w:ascii="Times New Roman" w:eastAsia="Times New Roman" w:hAnsi="Times New Roman" w:cs="Times New Roman"/>
          <w:sz w:val="24"/>
          <w:szCs w:val="24"/>
        </w:rPr>
        <w:t xml:space="preserve">§ </w:t>
      </w:r>
      <w:r w:rsidR="002D5EA4" w:rsidRPr="00676949">
        <w:rPr>
          <w:rFonts w:ascii="Times New Roman" w:eastAsia="Times New Roman" w:hAnsi="Times New Roman" w:cs="Times New Roman"/>
          <w:sz w:val="24"/>
          <w:szCs w:val="24"/>
        </w:rPr>
        <w:t>1031 of the CFPA, and the provider of such substantial assistance is deemed in violation of that section to the same extent as the person to whom such assistance is provided. 12 U.S.C. § 5536(A)(3).</w:t>
      </w:r>
    </w:p>
    <w:p w14:paraId="38DB5271" w14:textId="49F84088" w:rsidR="005D6033" w:rsidRPr="00676949" w:rsidRDefault="005D6033"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Defendants provided substantial assistance to the Broker Companies</w:t>
      </w:r>
      <w:r w:rsidR="006E223C" w:rsidRPr="00676949">
        <w:rPr>
          <w:rFonts w:ascii="Times New Roman" w:eastAsia="Times New Roman" w:hAnsi="Times New Roman" w:cs="Times New Roman"/>
          <w:sz w:val="24"/>
          <w:szCs w:val="24"/>
        </w:rPr>
        <w:t xml:space="preserve">’ deceptive acts </w:t>
      </w:r>
      <w:r w:rsidR="005737A1" w:rsidRPr="00676949">
        <w:rPr>
          <w:rFonts w:ascii="Times New Roman" w:eastAsia="Times New Roman" w:hAnsi="Times New Roman" w:cs="Times New Roman"/>
          <w:sz w:val="24"/>
          <w:szCs w:val="24"/>
        </w:rPr>
        <w:t xml:space="preserve">or </w:t>
      </w:r>
      <w:r w:rsidR="006E223C" w:rsidRPr="00676949">
        <w:rPr>
          <w:rFonts w:ascii="Times New Roman" w:eastAsia="Times New Roman" w:hAnsi="Times New Roman" w:cs="Times New Roman"/>
          <w:sz w:val="24"/>
          <w:szCs w:val="24"/>
        </w:rPr>
        <w:t xml:space="preserve">practices </w:t>
      </w:r>
      <w:r w:rsidRPr="00676949">
        <w:rPr>
          <w:rFonts w:ascii="Times New Roman" w:eastAsia="Times New Roman" w:hAnsi="Times New Roman" w:cs="Times New Roman"/>
          <w:sz w:val="24"/>
          <w:szCs w:val="24"/>
        </w:rPr>
        <w:t>by</w:t>
      </w:r>
      <w:r w:rsidR="003B1724"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 xml:space="preserve"> </w:t>
      </w:r>
      <w:r w:rsidR="00A557AD" w:rsidRPr="00676949">
        <w:rPr>
          <w:rFonts w:ascii="Times New Roman" w:eastAsia="Times New Roman" w:hAnsi="Times New Roman" w:cs="Times New Roman"/>
          <w:sz w:val="24"/>
          <w:szCs w:val="24"/>
        </w:rPr>
        <w:t>developing</w:t>
      </w:r>
      <w:r w:rsidR="00342E2A" w:rsidRPr="00676949">
        <w:rPr>
          <w:rFonts w:ascii="Times New Roman" w:eastAsia="Times New Roman" w:hAnsi="Times New Roman" w:cs="Times New Roman"/>
          <w:sz w:val="24"/>
          <w:szCs w:val="24"/>
        </w:rPr>
        <w:t xml:space="preserve"> a pre-approval </w:t>
      </w:r>
      <w:r w:rsidR="00F93EE5" w:rsidRPr="00676949">
        <w:rPr>
          <w:rFonts w:ascii="Times New Roman" w:eastAsia="Times New Roman" w:hAnsi="Times New Roman" w:cs="Times New Roman"/>
          <w:sz w:val="24"/>
          <w:szCs w:val="24"/>
        </w:rPr>
        <w:t>or risk</w:t>
      </w:r>
      <w:r w:rsidR="00475B0D" w:rsidRPr="00676949">
        <w:rPr>
          <w:rFonts w:ascii="Times New Roman" w:eastAsia="Times New Roman" w:hAnsi="Times New Roman" w:cs="Times New Roman"/>
          <w:sz w:val="24"/>
          <w:szCs w:val="24"/>
        </w:rPr>
        <w:t>-</w:t>
      </w:r>
      <w:r w:rsidR="00F93EE5" w:rsidRPr="00676949">
        <w:rPr>
          <w:rFonts w:ascii="Times New Roman" w:eastAsia="Times New Roman" w:hAnsi="Times New Roman" w:cs="Times New Roman"/>
          <w:sz w:val="24"/>
          <w:szCs w:val="24"/>
        </w:rPr>
        <w:t xml:space="preserve">assessment </w:t>
      </w:r>
      <w:r w:rsidR="00342E2A" w:rsidRPr="00676949">
        <w:rPr>
          <w:rFonts w:ascii="Times New Roman" w:eastAsia="Times New Roman" w:hAnsi="Times New Roman" w:cs="Times New Roman"/>
          <w:sz w:val="24"/>
          <w:szCs w:val="24"/>
        </w:rPr>
        <w:t>process for the contracts and c</w:t>
      </w:r>
      <w:r w:rsidR="00A557AD" w:rsidRPr="00676949">
        <w:rPr>
          <w:rFonts w:ascii="Times New Roman" w:eastAsia="Times New Roman" w:hAnsi="Times New Roman" w:cs="Times New Roman"/>
          <w:sz w:val="24"/>
          <w:szCs w:val="24"/>
        </w:rPr>
        <w:t>onducting</w:t>
      </w:r>
      <w:r w:rsidR="00342E2A" w:rsidRPr="00676949">
        <w:rPr>
          <w:rFonts w:ascii="Times New Roman" w:eastAsia="Times New Roman" w:hAnsi="Times New Roman" w:cs="Times New Roman"/>
          <w:sz w:val="24"/>
          <w:szCs w:val="24"/>
        </w:rPr>
        <w:t xml:space="preserve"> underwriting;</w:t>
      </w:r>
      <w:r w:rsidR="00A557AD" w:rsidRPr="00676949">
        <w:rPr>
          <w:rFonts w:ascii="Times New Roman" w:eastAsia="Times New Roman" w:hAnsi="Times New Roman" w:cs="Times New Roman"/>
          <w:sz w:val="24"/>
          <w:szCs w:val="24"/>
        </w:rPr>
        <w:t xml:space="preserve"> approving or denying</w:t>
      </w:r>
      <w:r w:rsidR="00342E2A" w:rsidRPr="00676949">
        <w:rPr>
          <w:rFonts w:ascii="Times New Roman" w:eastAsia="Times New Roman" w:hAnsi="Times New Roman" w:cs="Times New Roman"/>
          <w:sz w:val="24"/>
          <w:szCs w:val="24"/>
        </w:rPr>
        <w:t xml:space="preserve"> consumers’ applications to enter into the transactions;</w:t>
      </w:r>
      <w:r w:rsidR="00A557AD" w:rsidRPr="00676949">
        <w:rPr>
          <w:rFonts w:ascii="Times New Roman" w:eastAsia="Times New Roman" w:hAnsi="Times New Roman" w:cs="Times New Roman"/>
          <w:sz w:val="24"/>
          <w:szCs w:val="24"/>
        </w:rPr>
        <w:t xml:space="preserve"> directing</w:t>
      </w:r>
      <w:r w:rsidR="00342E2A" w:rsidRPr="00676949">
        <w:rPr>
          <w:rFonts w:ascii="Times New Roman" w:eastAsia="Times New Roman" w:hAnsi="Times New Roman" w:cs="Times New Roman"/>
          <w:sz w:val="24"/>
          <w:szCs w:val="24"/>
        </w:rPr>
        <w:t xml:space="preserve"> and </w:t>
      </w:r>
      <w:r w:rsidR="00A557AD" w:rsidRPr="00676949">
        <w:rPr>
          <w:rFonts w:ascii="Times New Roman" w:eastAsia="Times New Roman" w:hAnsi="Times New Roman" w:cs="Times New Roman"/>
          <w:sz w:val="24"/>
          <w:szCs w:val="24"/>
        </w:rPr>
        <w:t>administering</w:t>
      </w:r>
      <w:r w:rsidR="00342E2A" w:rsidRPr="00676949">
        <w:rPr>
          <w:rFonts w:ascii="Times New Roman" w:eastAsia="Times New Roman" w:hAnsi="Times New Roman" w:cs="Times New Roman"/>
          <w:sz w:val="24"/>
          <w:szCs w:val="24"/>
        </w:rPr>
        <w:t xml:space="preserve"> the execution of the contracts;</w:t>
      </w:r>
      <w:r w:rsidR="00A557AD" w:rsidRPr="00676949">
        <w:rPr>
          <w:rFonts w:ascii="Times New Roman" w:eastAsia="Times New Roman" w:hAnsi="Times New Roman" w:cs="Times New Roman"/>
          <w:sz w:val="24"/>
          <w:szCs w:val="24"/>
        </w:rPr>
        <w:t xml:space="preserve"> serving</w:t>
      </w:r>
      <w:r w:rsidR="00342E2A" w:rsidRPr="00676949">
        <w:rPr>
          <w:rFonts w:ascii="Times New Roman" w:eastAsia="Times New Roman" w:hAnsi="Times New Roman" w:cs="Times New Roman"/>
          <w:sz w:val="24"/>
          <w:szCs w:val="24"/>
        </w:rPr>
        <w:t xml:space="preserve"> as the </w:t>
      </w:r>
      <w:r w:rsidR="003F36C1" w:rsidRPr="00676949">
        <w:rPr>
          <w:rFonts w:ascii="Times New Roman" w:eastAsia="Times New Roman" w:hAnsi="Times New Roman" w:cs="Times New Roman"/>
          <w:sz w:val="24"/>
          <w:szCs w:val="24"/>
        </w:rPr>
        <w:t xml:space="preserve">payment processor </w:t>
      </w:r>
      <w:r w:rsidR="00342E2A" w:rsidRPr="00676949">
        <w:rPr>
          <w:rFonts w:ascii="Times New Roman" w:eastAsia="Times New Roman" w:hAnsi="Times New Roman" w:cs="Times New Roman"/>
          <w:sz w:val="24"/>
          <w:szCs w:val="24"/>
        </w:rPr>
        <w:t xml:space="preserve">for the </w:t>
      </w:r>
      <w:r w:rsidR="009458B6" w:rsidRPr="00676949">
        <w:rPr>
          <w:rFonts w:ascii="Times New Roman" w:eastAsia="Times New Roman" w:hAnsi="Times New Roman" w:cs="Times New Roman"/>
          <w:sz w:val="24"/>
          <w:szCs w:val="24"/>
        </w:rPr>
        <w:t>initial lump</w:t>
      </w:r>
      <w:r w:rsidR="00475B0D" w:rsidRPr="00676949">
        <w:rPr>
          <w:rFonts w:ascii="Times New Roman" w:eastAsia="Times New Roman" w:hAnsi="Times New Roman" w:cs="Times New Roman"/>
          <w:sz w:val="24"/>
          <w:szCs w:val="24"/>
        </w:rPr>
        <w:t>-</w:t>
      </w:r>
      <w:r w:rsidR="009458B6" w:rsidRPr="00676949">
        <w:rPr>
          <w:rFonts w:ascii="Times New Roman" w:eastAsia="Times New Roman" w:hAnsi="Times New Roman" w:cs="Times New Roman"/>
          <w:sz w:val="24"/>
          <w:szCs w:val="24"/>
        </w:rPr>
        <w:t>sum payment</w:t>
      </w:r>
      <w:r w:rsidR="00B738F7" w:rsidRPr="00676949">
        <w:rPr>
          <w:rFonts w:ascii="Times New Roman" w:eastAsia="Times New Roman" w:hAnsi="Times New Roman" w:cs="Times New Roman"/>
          <w:sz w:val="24"/>
          <w:szCs w:val="24"/>
        </w:rPr>
        <w:t xml:space="preserve"> and fees</w:t>
      </w:r>
      <w:r w:rsidR="00342E2A" w:rsidRPr="00676949">
        <w:rPr>
          <w:rFonts w:ascii="Times New Roman" w:eastAsia="Times New Roman" w:hAnsi="Times New Roman" w:cs="Times New Roman"/>
          <w:sz w:val="24"/>
          <w:szCs w:val="24"/>
        </w:rPr>
        <w:t>;</w:t>
      </w:r>
      <w:r w:rsidR="00A557AD" w:rsidRPr="00676949">
        <w:rPr>
          <w:rFonts w:ascii="Times New Roman" w:eastAsia="Times New Roman" w:hAnsi="Times New Roman" w:cs="Times New Roman"/>
          <w:sz w:val="24"/>
          <w:szCs w:val="24"/>
        </w:rPr>
        <w:t xml:space="preserve"> and continuing</w:t>
      </w:r>
      <w:r w:rsidR="00342E2A" w:rsidRPr="00676949">
        <w:rPr>
          <w:rFonts w:ascii="Times New Roman" w:eastAsia="Times New Roman" w:hAnsi="Times New Roman" w:cs="Times New Roman"/>
          <w:sz w:val="24"/>
          <w:szCs w:val="24"/>
        </w:rPr>
        <w:t xml:space="preserve"> </w:t>
      </w:r>
      <w:r w:rsidR="009458B6" w:rsidRPr="00676949">
        <w:rPr>
          <w:rFonts w:ascii="Times New Roman" w:eastAsia="Times New Roman" w:hAnsi="Times New Roman" w:cs="Times New Roman"/>
          <w:sz w:val="24"/>
          <w:szCs w:val="24"/>
        </w:rPr>
        <w:t>to serve as the</w:t>
      </w:r>
      <w:r w:rsidR="00B738F7" w:rsidRPr="00676949">
        <w:rPr>
          <w:rFonts w:ascii="Times New Roman" w:eastAsia="Times New Roman" w:hAnsi="Times New Roman" w:cs="Times New Roman"/>
          <w:sz w:val="24"/>
          <w:szCs w:val="24"/>
        </w:rPr>
        <w:t xml:space="preserve"> transactions’</w:t>
      </w:r>
      <w:r w:rsidR="009458B6" w:rsidRPr="00676949">
        <w:rPr>
          <w:rFonts w:ascii="Times New Roman" w:eastAsia="Times New Roman" w:hAnsi="Times New Roman" w:cs="Times New Roman"/>
          <w:sz w:val="24"/>
          <w:szCs w:val="24"/>
        </w:rPr>
        <w:t xml:space="preserve"> payment processor, </w:t>
      </w:r>
      <w:r w:rsidR="005F419B" w:rsidRPr="00676949">
        <w:rPr>
          <w:rFonts w:ascii="Times New Roman" w:eastAsia="Times New Roman" w:hAnsi="Times New Roman" w:cs="Times New Roman"/>
          <w:sz w:val="24"/>
          <w:szCs w:val="24"/>
        </w:rPr>
        <w:t>track</w:t>
      </w:r>
      <w:r w:rsidR="009458B6" w:rsidRPr="00676949">
        <w:rPr>
          <w:rFonts w:ascii="Times New Roman" w:eastAsia="Times New Roman" w:hAnsi="Times New Roman" w:cs="Times New Roman"/>
          <w:sz w:val="24"/>
          <w:szCs w:val="24"/>
        </w:rPr>
        <w:t>ing</w:t>
      </w:r>
      <w:r w:rsidR="00342E2A" w:rsidRPr="00676949">
        <w:rPr>
          <w:rFonts w:ascii="Times New Roman" w:eastAsia="Times New Roman" w:hAnsi="Times New Roman" w:cs="Times New Roman"/>
          <w:sz w:val="24"/>
          <w:szCs w:val="24"/>
        </w:rPr>
        <w:t xml:space="preserve"> and </w:t>
      </w:r>
      <w:r w:rsidR="009458B6" w:rsidRPr="00676949">
        <w:rPr>
          <w:rFonts w:ascii="Times New Roman" w:eastAsia="Times New Roman" w:hAnsi="Times New Roman" w:cs="Times New Roman"/>
          <w:sz w:val="24"/>
          <w:szCs w:val="24"/>
        </w:rPr>
        <w:t>controlling</w:t>
      </w:r>
      <w:r w:rsidR="00342E2A" w:rsidRPr="00676949">
        <w:rPr>
          <w:rFonts w:ascii="Times New Roman" w:eastAsia="Times New Roman" w:hAnsi="Times New Roman" w:cs="Times New Roman"/>
          <w:sz w:val="24"/>
          <w:szCs w:val="24"/>
        </w:rPr>
        <w:t xml:space="preserve"> the collection</w:t>
      </w:r>
      <w:r w:rsidR="009458B6" w:rsidRPr="00676949">
        <w:rPr>
          <w:rFonts w:ascii="Times New Roman" w:eastAsia="Times New Roman" w:hAnsi="Times New Roman" w:cs="Times New Roman"/>
          <w:sz w:val="24"/>
          <w:szCs w:val="24"/>
        </w:rPr>
        <w:t xml:space="preserve"> and distribution</w:t>
      </w:r>
      <w:r w:rsidR="00342E2A" w:rsidRPr="00676949">
        <w:rPr>
          <w:rFonts w:ascii="Times New Roman" w:eastAsia="Times New Roman" w:hAnsi="Times New Roman" w:cs="Times New Roman"/>
          <w:sz w:val="24"/>
          <w:szCs w:val="24"/>
        </w:rPr>
        <w:t xml:space="preserve"> of consumers’ payments on the contracts</w:t>
      </w:r>
      <w:r w:rsidRPr="00676949">
        <w:rPr>
          <w:rFonts w:ascii="Times New Roman" w:eastAsia="Times New Roman" w:hAnsi="Times New Roman" w:cs="Times New Roman"/>
          <w:sz w:val="24"/>
          <w:szCs w:val="24"/>
        </w:rPr>
        <w:t>.</w:t>
      </w:r>
    </w:p>
    <w:p w14:paraId="50F689F9" w14:textId="2CF944CC" w:rsidR="005D6033" w:rsidRPr="00676949" w:rsidRDefault="005D6033" w:rsidP="007B67C3">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knowingly or recklessly provided </w:t>
      </w:r>
      <w:r w:rsidR="00AF6218" w:rsidRPr="00676949">
        <w:rPr>
          <w:rFonts w:ascii="Times New Roman" w:eastAsia="Times New Roman" w:hAnsi="Times New Roman" w:cs="Times New Roman"/>
          <w:sz w:val="24"/>
          <w:szCs w:val="24"/>
        </w:rPr>
        <w:t xml:space="preserve">this </w:t>
      </w:r>
      <w:r w:rsidR="003B1724" w:rsidRPr="00676949">
        <w:rPr>
          <w:rFonts w:ascii="Times New Roman" w:eastAsia="Times New Roman" w:hAnsi="Times New Roman" w:cs="Times New Roman"/>
          <w:sz w:val="24"/>
          <w:szCs w:val="24"/>
        </w:rPr>
        <w:t xml:space="preserve">substantial assistance. </w:t>
      </w:r>
      <w:r w:rsidR="004B37CA" w:rsidRPr="00676949">
        <w:rPr>
          <w:rFonts w:ascii="Times New Roman" w:eastAsia="Times New Roman" w:hAnsi="Times New Roman" w:cs="Times New Roman"/>
          <w:sz w:val="24"/>
          <w:szCs w:val="24"/>
        </w:rPr>
        <w:t xml:space="preserve">Defendants knew or should have known </w:t>
      </w:r>
      <w:r w:rsidR="00A557AD" w:rsidRPr="00676949">
        <w:rPr>
          <w:rFonts w:ascii="Times New Roman" w:eastAsia="Times New Roman" w:hAnsi="Times New Roman" w:cs="Times New Roman"/>
          <w:sz w:val="24"/>
          <w:szCs w:val="24"/>
        </w:rPr>
        <w:t xml:space="preserve">that the contracts were illegal and void from inception. </w:t>
      </w:r>
      <w:r w:rsidR="003B1724" w:rsidRPr="00676949">
        <w:rPr>
          <w:rFonts w:ascii="Times New Roman" w:eastAsia="Times New Roman" w:hAnsi="Times New Roman" w:cs="Times New Roman"/>
          <w:sz w:val="24"/>
          <w:szCs w:val="24"/>
        </w:rPr>
        <w:t>Defendants</w:t>
      </w:r>
      <w:r w:rsidR="00A557AD" w:rsidRPr="00676949">
        <w:rPr>
          <w:rFonts w:ascii="Times New Roman" w:eastAsia="Times New Roman" w:hAnsi="Times New Roman" w:cs="Times New Roman"/>
          <w:sz w:val="24"/>
          <w:szCs w:val="24"/>
        </w:rPr>
        <w:t xml:space="preserve"> were aware not only that consumers questioned the legality of the transactions, but </w:t>
      </w:r>
      <w:r w:rsidR="00475B0D" w:rsidRPr="00676949">
        <w:rPr>
          <w:rFonts w:ascii="Times New Roman" w:eastAsia="Times New Roman" w:hAnsi="Times New Roman" w:cs="Times New Roman"/>
          <w:sz w:val="24"/>
          <w:szCs w:val="24"/>
        </w:rPr>
        <w:t xml:space="preserve">also </w:t>
      </w:r>
      <w:r w:rsidR="00A557AD" w:rsidRPr="00676949">
        <w:rPr>
          <w:rFonts w:ascii="Times New Roman" w:eastAsia="Times New Roman" w:hAnsi="Times New Roman" w:cs="Times New Roman"/>
          <w:sz w:val="24"/>
          <w:szCs w:val="24"/>
        </w:rPr>
        <w:t xml:space="preserve">of multiple publicly available cease-and-desist orders issued against </w:t>
      </w:r>
      <w:r w:rsidR="003B1724" w:rsidRPr="00676949">
        <w:rPr>
          <w:rFonts w:ascii="Times New Roman" w:eastAsia="Times New Roman" w:hAnsi="Times New Roman" w:cs="Times New Roman"/>
          <w:sz w:val="24"/>
          <w:szCs w:val="24"/>
        </w:rPr>
        <w:t>the Broker Companies</w:t>
      </w:r>
      <w:r w:rsidR="00A31E47" w:rsidRPr="00676949">
        <w:rPr>
          <w:rFonts w:ascii="Times New Roman" w:eastAsia="Times New Roman" w:hAnsi="Times New Roman" w:cs="Times New Roman"/>
          <w:sz w:val="24"/>
          <w:szCs w:val="24"/>
        </w:rPr>
        <w:t xml:space="preserve"> by state regulators</w:t>
      </w:r>
      <w:r w:rsidR="00A37B0F" w:rsidRPr="00676949">
        <w:rPr>
          <w:rFonts w:ascii="Times New Roman" w:eastAsia="Times New Roman" w:hAnsi="Times New Roman" w:cs="Times New Roman"/>
          <w:sz w:val="24"/>
          <w:szCs w:val="24"/>
        </w:rPr>
        <w:t>,</w:t>
      </w:r>
      <w:r w:rsidR="007B67C3" w:rsidRPr="00676949">
        <w:rPr>
          <w:rFonts w:ascii="Times New Roman" w:eastAsia="Times New Roman" w:hAnsi="Times New Roman" w:cs="Times New Roman"/>
          <w:sz w:val="24"/>
          <w:szCs w:val="24"/>
        </w:rPr>
        <w:t xml:space="preserve"> which</w:t>
      </w:r>
      <w:r w:rsidR="00FC1304" w:rsidRPr="00676949">
        <w:rPr>
          <w:rFonts w:ascii="Times New Roman" w:eastAsia="Times New Roman" w:hAnsi="Times New Roman" w:cs="Times New Roman"/>
          <w:sz w:val="24"/>
          <w:szCs w:val="24"/>
        </w:rPr>
        <w:t xml:space="preserve"> </w:t>
      </w:r>
      <w:r w:rsidR="007B67C3" w:rsidRPr="00676949">
        <w:rPr>
          <w:rFonts w:ascii="Times New Roman" w:eastAsia="Times New Roman" w:hAnsi="Times New Roman" w:cs="Times New Roman"/>
          <w:sz w:val="24"/>
          <w:szCs w:val="24"/>
        </w:rPr>
        <w:t xml:space="preserve">stated that </w:t>
      </w:r>
      <w:r w:rsidR="00FC1304" w:rsidRPr="00676949">
        <w:rPr>
          <w:rFonts w:ascii="Times New Roman" w:eastAsia="Times New Roman" w:hAnsi="Times New Roman" w:cs="Times New Roman"/>
          <w:sz w:val="24"/>
          <w:szCs w:val="24"/>
        </w:rPr>
        <w:t>veterans’ pensions are unassignable under federal law.</w:t>
      </w:r>
      <w:r w:rsidR="007B67C3" w:rsidRPr="00676949">
        <w:rPr>
          <w:rFonts w:ascii="Times New Roman" w:eastAsia="Times New Roman" w:hAnsi="Times New Roman" w:cs="Times New Roman"/>
          <w:sz w:val="24"/>
          <w:szCs w:val="24"/>
        </w:rPr>
        <w:t xml:space="preserve"> </w:t>
      </w:r>
      <w:r w:rsidR="00FC1304" w:rsidRPr="00676949">
        <w:rPr>
          <w:rFonts w:ascii="Times New Roman" w:eastAsia="Times New Roman" w:hAnsi="Times New Roman" w:cs="Times New Roman"/>
          <w:sz w:val="24"/>
          <w:szCs w:val="24"/>
        </w:rPr>
        <w:t xml:space="preserve">Defendants were also aware </w:t>
      </w:r>
      <w:r w:rsidR="00A557AD" w:rsidRPr="00676949">
        <w:rPr>
          <w:rFonts w:ascii="Times New Roman" w:eastAsia="Times New Roman" w:hAnsi="Times New Roman" w:cs="Times New Roman"/>
          <w:sz w:val="24"/>
          <w:szCs w:val="24"/>
        </w:rPr>
        <w:t xml:space="preserve">of </w:t>
      </w:r>
      <w:r w:rsidR="007B67C3" w:rsidRPr="00676949">
        <w:rPr>
          <w:rFonts w:ascii="Times New Roman" w:eastAsia="Times New Roman" w:hAnsi="Times New Roman" w:cs="Times New Roman"/>
          <w:sz w:val="24"/>
          <w:szCs w:val="24"/>
        </w:rPr>
        <w:t xml:space="preserve">several </w:t>
      </w:r>
      <w:r w:rsidR="003B1724" w:rsidRPr="00676949">
        <w:rPr>
          <w:rFonts w:ascii="Times New Roman" w:eastAsia="Times New Roman" w:hAnsi="Times New Roman" w:cs="Times New Roman"/>
          <w:sz w:val="24"/>
          <w:szCs w:val="24"/>
        </w:rPr>
        <w:t xml:space="preserve">private lawsuits </w:t>
      </w:r>
      <w:r w:rsidR="007B67C3" w:rsidRPr="00676949">
        <w:rPr>
          <w:rFonts w:ascii="Times New Roman" w:eastAsia="Times New Roman" w:hAnsi="Times New Roman" w:cs="Times New Roman"/>
          <w:sz w:val="24"/>
          <w:szCs w:val="24"/>
        </w:rPr>
        <w:t>challenging the legality of the product offered by the Broker Companies</w:t>
      </w:r>
      <w:r w:rsidR="00A557AD" w:rsidRPr="00676949">
        <w:rPr>
          <w:rFonts w:ascii="Times New Roman" w:eastAsia="Times New Roman" w:hAnsi="Times New Roman" w:cs="Times New Roman"/>
          <w:sz w:val="24"/>
          <w:szCs w:val="24"/>
        </w:rPr>
        <w:t>.</w:t>
      </w:r>
      <w:r w:rsidR="003B1724" w:rsidRPr="00676949">
        <w:rPr>
          <w:rFonts w:ascii="Times New Roman" w:eastAsia="Times New Roman" w:hAnsi="Times New Roman" w:cs="Times New Roman"/>
          <w:sz w:val="24"/>
          <w:szCs w:val="24"/>
        </w:rPr>
        <w:t xml:space="preserve"> </w:t>
      </w:r>
    </w:p>
    <w:p w14:paraId="1D17F5E4" w14:textId="77777777" w:rsidR="008B1A60" w:rsidRPr="00676949" w:rsidRDefault="002D5EA4"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Therefore, Defendants </w:t>
      </w:r>
      <w:r w:rsidR="00AF6218" w:rsidRPr="00676949">
        <w:rPr>
          <w:rFonts w:ascii="Times New Roman" w:eastAsia="Times New Roman" w:hAnsi="Times New Roman" w:cs="Times New Roman"/>
          <w:sz w:val="24"/>
          <w:szCs w:val="24"/>
        </w:rPr>
        <w:t xml:space="preserve">are deemed to have engaged in deceptive acts </w:t>
      </w:r>
      <w:r w:rsidR="0046139C" w:rsidRPr="00676949">
        <w:rPr>
          <w:rFonts w:ascii="Times New Roman" w:eastAsia="Times New Roman" w:hAnsi="Times New Roman" w:cs="Times New Roman"/>
          <w:sz w:val="24"/>
          <w:szCs w:val="24"/>
        </w:rPr>
        <w:t>or</w:t>
      </w:r>
      <w:r w:rsidR="00AF6218" w:rsidRPr="00676949">
        <w:rPr>
          <w:rFonts w:ascii="Times New Roman" w:eastAsia="Times New Roman" w:hAnsi="Times New Roman" w:cs="Times New Roman"/>
          <w:sz w:val="24"/>
          <w:szCs w:val="24"/>
        </w:rPr>
        <w:t xml:space="preserve"> practices in violation of the CFPA to the same extent as the Broker Companies. </w:t>
      </w:r>
      <w:r w:rsidR="00BB31F7" w:rsidRPr="00676949">
        <w:rPr>
          <w:rFonts w:ascii="Times New Roman" w:eastAsia="Times New Roman" w:hAnsi="Times New Roman" w:cs="Times New Roman"/>
          <w:sz w:val="24"/>
          <w:szCs w:val="24"/>
        </w:rPr>
        <w:t>12 U.S.C. § 5536(A)(3).</w:t>
      </w:r>
    </w:p>
    <w:p w14:paraId="3B40FCE7" w14:textId="77777777" w:rsidR="00B0536D" w:rsidRPr="00676949" w:rsidRDefault="00B0536D" w:rsidP="00B26B02">
      <w:pPr>
        <w:spacing w:after="0" w:line="240" w:lineRule="auto"/>
        <w:ind w:firstLine="720"/>
        <w:contextualSpacing/>
        <w:jc w:val="center"/>
        <w:rPr>
          <w:rFonts w:ascii="Times New Roman" w:eastAsia="Times New Roman" w:hAnsi="Times New Roman" w:cs="Times New Roman"/>
          <w:b/>
          <w:sz w:val="24"/>
          <w:szCs w:val="24"/>
        </w:rPr>
      </w:pPr>
    </w:p>
    <w:p w14:paraId="4732F1ED" w14:textId="77777777" w:rsidR="00311777" w:rsidRPr="00676949" w:rsidRDefault="00311777" w:rsidP="005737A1">
      <w:pPr>
        <w:keepNext/>
        <w:spacing w:after="0" w:line="240" w:lineRule="auto"/>
        <w:contextualSpacing/>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Count I</w:t>
      </w:r>
      <w:r w:rsidR="00CA2767" w:rsidRPr="00676949">
        <w:rPr>
          <w:rFonts w:ascii="Times New Roman" w:eastAsia="Times New Roman" w:hAnsi="Times New Roman" w:cs="Times New Roman"/>
          <w:b/>
          <w:sz w:val="24"/>
          <w:szCs w:val="24"/>
        </w:rPr>
        <w:t>I</w:t>
      </w:r>
    </w:p>
    <w:p w14:paraId="7AE3CB90" w14:textId="77777777" w:rsidR="00475B0D" w:rsidRPr="00676949" w:rsidRDefault="006E223C" w:rsidP="006458B5">
      <w:pPr>
        <w:keepNext/>
        <w:spacing w:after="0" w:line="240" w:lineRule="auto"/>
        <w:contextualSpacing/>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Substantial Assistance for </w:t>
      </w:r>
    </w:p>
    <w:p w14:paraId="78F04837" w14:textId="53D082E3" w:rsidR="00311777" w:rsidRPr="00676949" w:rsidRDefault="00311777" w:rsidP="005B5A9A">
      <w:pPr>
        <w:keepNext/>
        <w:spacing w:after="0" w:line="240" w:lineRule="auto"/>
        <w:contextualSpacing/>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Deceptive Acts or Practices, in Violation of the CFPA</w:t>
      </w:r>
      <w:r w:rsidR="00475B0D" w:rsidRPr="00676949">
        <w:rPr>
          <w:rFonts w:ascii="Times New Roman" w:eastAsia="Times New Roman" w:hAnsi="Times New Roman" w:cs="Times New Roman"/>
          <w:b/>
          <w:sz w:val="24"/>
          <w:szCs w:val="24"/>
        </w:rPr>
        <w:t>,</w:t>
      </w:r>
    </w:p>
    <w:p w14:paraId="350F4E22" w14:textId="3BE70AAB" w:rsidR="00D06EB8" w:rsidRPr="00676949" w:rsidRDefault="00EE4B18" w:rsidP="005B5A9A">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Asserted by the Bureau</w:t>
      </w:r>
      <w:r w:rsidR="00870886" w:rsidRPr="00676949">
        <w:rPr>
          <w:rFonts w:ascii="Times New Roman" w:eastAsia="Times New Roman" w:hAnsi="Times New Roman" w:cs="Times New Roman"/>
          <w:b/>
          <w:sz w:val="24"/>
          <w:szCs w:val="24"/>
        </w:rPr>
        <w:t xml:space="preserve">, </w:t>
      </w:r>
      <w:r w:rsidR="009832D0">
        <w:rPr>
          <w:rFonts w:ascii="Times New Roman" w:eastAsia="Times New Roman" w:hAnsi="Times New Roman" w:cs="Times New Roman"/>
          <w:b/>
          <w:sz w:val="24"/>
          <w:szCs w:val="24"/>
        </w:rPr>
        <w:t>the Department</w:t>
      </w:r>
      <w:r w:rsidR="00870886" w:rsidRPr="00676949">
        <w:rPr>
          <w:rFonts w:ascii="Times New Roman" w:eastAsia="Times New Roman" w:hAnsi="Times New Roman" w:cs="Times New Roman"/>
          <w:b/>
          <w:sz w:val="24"/>
          <w:szCs w:val="24"/>
        </w:rPr>
        <w:t>, and Arkansas</w:t>
      </w:r>
    </w:p>
    <w:p w14:paraId="27353469" w14:textId="77777777" w:rsidR="00B0536D" w:rsidRPr="00676949" w:rsidRDefault="00B0536D" w:rsidP="007753CF">
      <w:pPr>
        <w:keepNext/>
        <w:spacing w:after="0" w:line="240" w:lineRule="auto"/>
        <w:ind w:firstLine="720"/>
        <w:jc w:val="center"/>
        <w:rPr>
          <w:rFonts w:ascii="Times New Roman" w:eastAsia="Times New Roman" w:hAnsi="Times New Roman" w:cs="Times New Roman"/>
          <w:b/>
          <w:sz w:val="24"/>
          <w:szCs w:val="24"/>
        </w:rPr>
      </w:pPr>
    </w:p>
    <w:p w14:paraId="3F28739D" w14:textId="77777777" w:rsidR="00466986" w:rsidRPr="00676949" w:rsidRDefault="00466986"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allegations in paragraphs 1 to </w:t>
      </w:r>
      <w:r w:rsidR="00D12BB3" w:rsidRPr="00676949">
        <w:rPr>
          <w:rFonts w:ascii="Times New Roman" w:eastAsia="Times New Roman" w:hAnsi="Times New Roman" w:cs="Times New Roman"/>
          <w:sz w:val="24"/>
          <w:szCs w:val="24"/>
        </w:rPr>
        <w:t>34</w:t>
      </w:r>
      <w:r w:rsidRPr="00676949">
        <w:rPr>
          <w:rFonts w:ascii="Times New Roman" w:eastAsia="Times New Roman" w:hAnsi="Times New Roman" w:cs="Times New Roman"/>
          <w:sz w:val="24"/>
          <w:szCs w:val="24"/>
        </w:rPr>
        <w:t xml:space="preserve"> are incorporated here by reference.</w:t>
      </w:r>
    </w:p>
    <w:p w14:paraId="0DE83537" w14:textId="77777777" w:rsidR="007753CF" w:rsidRPr="00676949"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 are covered persons under the CFPA because they engaged in brokering extensions of credit to consumers. 12 U.S.C. § 5481(5)-(7), (15)(A)(i).</w:t>
      </w:r>
    </w:p>
    <w:p w14:paraId="204E3707" w14:textId="77777777" w:rsidR="007753CF" w:rsidRPr="00676949"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An act or practice is deceptive if it involves a material misrepresentation or omission that is likely to mislead consumers acting reasonably under the circumstances. </w:t>
      </w:r>
    </w:p>
    <w:p w14:paraId="73A1DC49" w14:textId="77777777" w:rsidR="007753CF" w:rsidRPr="00676949"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Calibri" w:hAnsi="Times New Roman" w:cs="Times New Roman"/>
          <w:sz w:val="24"/>
          <w:szCs w:val="24"/>
        </w:rPr>
        <w:t xml:space="preserve">Information that is material to consumers is information that is likely to affect a consumer’s choice of, or conduct regarding, a product or service. </w:t>
      </w:r>
    </w:p>
    <w:p w14:paraId="238CC712" w14:textId="77777777" w:rsidR="009821B1" w:rsidRPr="00676949" w:rsidRDefault="00CD3237"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w:t>
      </w:r>
      <w:r w:rsidR="002112AE" w:rsidRPr="00676949">
        <w:rPr>
          <w:rFonts w:ascii="Times New Roman" w:eastAsia="Times New Roman" w:hAnsi="Times New Roman" w:cs="Times New Roman"/>
          <w:sz w:val="24"/>
          <w:szCs w:val="24"/>
        </w:rPr>
        <w:t>’</w:t>
      </w:r>
      <w:r w:rsidR="00CA2767" w:rsidRPr="00676949">
        <w:rPr>
          <w:rFonts w:ascii="Times New Roman" w:eastAsia="Times New Roman" w:hAnsi="Times New Roman" w:cs="Times New Roman"/>
          <w:sz w:val="24"/>
          <w:szCs w:val="24"/>
        </w:rPr>
        <w:t xml:space="preserve"> </w:t>
      </w:r>
      <w:r w:rsidR="009A5C87" w:rsidRPr="00676949">
        <w:rPr>
          <w:rFonts w:ascii="Times New Roman" w:eastAsia="Times New Roman" w:hAnsi="Times New Roman" w:cs="Times New Roman"/>
          <w:sz w:val="24"/>
          <w:szCs w:val="24"/>
        </w:rPr>
        <w:t xml:space="preserve">contracts </w:t>
      </w:r>
      <w:r w:rsidR="00CA2767" w:rsidRPr="00676949">
        <w:rPr>
          <w:rFonts w:ascii="Times New Roman" w:eastAsia="Times New Roman" w:hAnsi="Times New Roman" w:cs="Times New Roman"/>
          <w:sz w:val="24"/>
          <w:szCs w:val="24"/>
        </w:rPr>
        <w:t>provide</w:t>
      </w:r>
      <w:r w:rsidRPr="00676949">
        <w:rPr>
          <w:rFonts w:ascii="Times New Roman" w:eastAsia="Times New Roman" w:hAnsi="Times New Roman" w:cs="Times New Roman"/>
          <w:sz w:val="24"/>
          <w:szCs w:val="24"/>
        </w:rPr>
        <w:t>d</w:t>
      </w:r>
      <w:r w:rsidR="00CA2767" w:rsidRPr="00676949">
        <w:rPr>
          <w:rFonts w:ascii="Times New Roman" w:eastAsia="Times New Roman" w:hAnsi="Times New Roman" w:cs="Times New Roman"/>
          <w:sz w:val="24"/>
          <w:szCs w:val="24"/>
        </w:rPr>
        <w:t xml:space="preserve"> for </w:t>
      </w:r>
      <w:r w:rsidR="007A4805" w:rsidRPr="00676949">
        <w:rPr>
          <w:rFonts w:ascii="Times New Roman" w:eastAsia="Times New Roman" w:hAnsi="Times New Roman" w:cs="Times New Roman"/>
          <w:sz w:val="24"/>
          <w:szCs w:val="24"/>
        </w:rPr>
        <w:t>cons</w:t>
      </w:r>
      <w:r w:rsidR="00774C35" w:rsidRPr="00676949">
        <w:rPr>
          <w:rFonts w:ascii="Times New Roman" w:eastAsia="Times New Roman" w:hAnsi="Times New Roman" w:cs="Times New Roman"/>
          <w:sz w:val="24"/>
          <w:szCs w:val="24"/>
        </w:rPr>
        <w:t>u</w:t>
      </w:r>
      <w:r w:rsidR="007A4805" w:rsidRPr="00676949">
        <w:rPr>
          <w:rFonts w:ascii="Times New Roman" w:eastAsia="Times New Roman" w:hAnsi="Times New Roman" w:cs="Times New Roman"/>
          <w:sz w:val="24"/>
          <w:szCs w:val="24"/>
        </w:rPr>
        <w:t xml:space="preserve">mers </w:t>
      </w:r>
      <w:r w:rsidR="00CA2767" w:rsidRPr="00676949">
        <w:rPr>
          <w:rFonts w:ascii="Times New Roman" w:eastAsia="Times New Roman" w:hAnsi="Times New Roman" w:cs="Times New Roman"/>
          <w:sz w:val="24"/>
          <w:szCs w:val="24"/>
        </w:rPr>
        <w:t xml:space="preserve">to receive a lump-sum payment and thereafter repay a much larger total amount over time </w:t>
      </w:r>
      <w:r w:rsidR="00D43BA6" w:rsidRPr="00676949">
        <w:rPr>
          <w:rFonts w:ascii="Times New Roman" w:eastAsia="Times New Roman" w:hAnsi="Times New Roman" w:cs="Times New Roman"/>
          <w:sz w:val="24"/>
          <w:szCs w:val="24"/>
        </w:rPr>
        <w:t xml:space="preserve">using </w:t>
      </w:r>
      <w:r w:rsidR="00CA2767" w:rsidRPr="00676949">
        <w:rPr>
          <w:rFonts w:ascii="Times New Roman" w:eastAsia="Times New Roman" w:hAnsi="Times New Roman" w:cs="Times New Roman"/>
          <w:sz w:val="24"/>
          <w:szCs w:val="24"/>
        </w:rPr>
        <w:t xml:space="preserve">their monthly pension or disability payments. </w:t>
      </w:r>
    </w:p>
    <w:p w14:paraId="6ABDBC67" w14:textId="028DF287" w:rsidR="00CA2767" w:rsidRPr="00676949" w:rsidRDefault="00CD3237"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w:t>
      </w:r>
      <w:r w:rsidR="00CB08AF" w:rsidRPr="00676949">
        <w:rPr>
          <w:rFonts w:ascii="Times New Roman" w:eastAsia="Times New Roman" w:hAnsi="Times New Roman" w:cs="Times New Roman"/>
          <w:sz w:val="24"/>
          <w:szCs w:val="24"/>
        </w:rPr>
        <w:t xml:space="preserve"> represent</w:t>
      </w:r>
      <w:r w:rsidRPr="00676949">
        <w:rPr>
          <w:rFonts w:ascii="Times New Roman" w:eastAsia="Times New Roman" w:hAnsi="Times New Roman" w:cs="Times New Roman"/>
          <w:sz w:val="24"/>
          <w:szCs w:val="24"/>
        </w:rPr>
        <w:t>ed</w:t>
      </w:r>
      <w:r w:rsidR="00CA2767" w:rsidRPr="00676949">
        <w:rPr>
          <w:rFonts w:ascii="Times New Roman" w:eastAsia="Times New Roman" w:hAnsi="Times New Roman" w:cs="Times New Roman"/>
          <w:sz w:val="24"/>
          <w:szCs w:val="24"/>
        </w:rPr>
        <w:t xml:space="preserve"> to consumers that </w:t>
      </w:r>
      <w:r w:rsidRPr="00676949">
        <w:rPr>
          <w:rFonts w:ascii="Times New Roman" w:eastAsia="Times New Roman" w:hAnsi="Times New Roman" w:cs="Times New Roman"/>
          <w:sz w:val="24"/>
          <w:szCs w:val="24"/>
        </w:rPr>
        <w:t>their</w:t>
      </w:r>
      <w:r w:rsidR="00CB08AF" w:rsidRPr="00676949">
        <w:rPr>
          <w:rFonts w:ascii="Times New Roman" w:eastAsia="Times New Roman" w:hAnsi="Times New Roman" w:cs="Times New Roman"/>
          <w:sz w:val="24"/>
          <w:szCs w:val="24"/>
        </w:rPr>
        <w:t xml:space="preserve"> </w:t>
      </w:r>
      <w:r w:rsidR="00CA2767" w:rsidRPr="00676949">
        <w:rPr>
          <w:rFonts w:ascii="Times New Roman" w:eastAsia="Times New Roman" w:hAnsi="Times New Roman" w:cs="Times New Roman"/>
          <w:sz w:val="24"/>
          <w:szCs w:val="24"/>
        </w:rPr>
        <w:t xml:space="preserve">products </w:t>
      </w:r>
      <w:r w:rsidRPr="00676949">
        <w:rPr>
          <w:rFonts w:ascii="Times New Roman" w:eastAsia="Times New Roman" w:hAnsi="Times New Roman" w:cs="Times New Roman"/>
          <w:sz w:val="24"/>
          <w:szCs w:val="24"/>
        </w:rPr>
        <w:t>were</w:t>
      </w:r>
      <w:r w:rsidR="00CA2767" w:rsidRPr="00676949">
        <w:rPr>
          <w:rFonts w:ascii="Times New Roman" w:eastAsia="Times New Roman" w:hAnsi="Times New Roman" w:cs="Times New Roman"/>
          <w:sz w:val="24"/>
          <w:szCs w:val="24"/>
        </w:rPr>
        <w:t xml:space="preserve"> sales and not high-interest credit offers.</w:t>
      </w:r>
      <w:r w:rsidR="008522E5" w:rsidRPr="00676949">
        <w:rPr>
          <w:rFonts w:ascii="Times New Roman" w:eastAsia="Times New Roman" w:hAnsi="Times New Roman" w:cs="Times New Roman"/>
          <w:sz w:val="24"/>
          <w:szCs w:val="24"/>
        </w:rPr>
        <w:t xml:space="preserve"> I</w:t>
      </w:r>
      <w:r w:rsidR="00C435BE" w:rsidRPr="00676949">
        <w:rPr>
          <w:rFonts w:ascii="Times New Roman" w:eastAsia="Times New Roman" w:hAnsi="Times New Roman" w:cs="Times New Roman"/>
          <w:sz w:val="24"/>
          <w:szCs w:val="24"/>
        </w:rPr>
        <w:t xml:space="preserve">n fact, these products </w:t>
      </w:r>
      <w:r w:rsidRPr="00676949">
        <w:rPr>
          <w:rFonts w:ascii="Times New Roman" w:eastAsia="Times New Roman" w:hAnsi="Times New Roman" w:cs="Times New Roman"/>
          <w:sz w:val="24"/>
          <w:szCs w:val="24"/>
        </w:rPr>
        <w:t>were</w:t>
      </w:r>
      <w:r w:rsidR="00C435BE" w:rsidRPr="00676949">
        <w:rPr>
          <w:rFonts w:ascii="Times New Roman" w:eastAsia="Times New Roman" w:hAnsi="Times New Roman" w:cs="Times New Roman"/>
          <w:sz w:val="24"/>
          <w:szCs w:val="24"/>
        </w:rPr>
        <w:t xml:space="preserve"> high-</w:t>
      </w:r>
      <w:r w:rsidR="008522E5" w:rsidRPr="00676949">
        <w:rPr>
          <w:rFonts w:ascii="Times New Roman" w:eastAsia="Times New Roman" w:hAnsi="Times New Roman" w:cs="Times New Roman"/>
          <w:sz w:val="24"/>
          <w:szCs w:val="24"/>
        </w:rPr>
        <w:t>interest credit offers</w:t>
      </w:r>
      <w:r w:rsidR="000E44FE" w:rsidRPr="00676949">
        <w:rPr>
          <w:rFonts w:ascii="Times New Roman" w:eastAsia="Times New Roman" w:hAnsi="Times New Roman" w:cs="Times New Roman"/>
          <w:sz w:val="24"/>
          <w:szCs w:val="24"/>
        </w:rPr>
        <w:t xml:space="preserve"> because </w:t>
      </w:r>
      <w:r w:rsidR="00635365" w:rsidRPr="00676949">
        <w:rPr>
          <w:rFonts w:ascii="Times New Roman" w:eastAsia="Times New Roman" w:hAnsi="Times New Roman" w:cs="Times New Roman"/>
          <w:sz w:val="24"/>
          <w:szCs w:val="24"/>
        </w:rPr>
        <w:t>they purported to allow</w:t>
      </w:r>
      <w:r w:rsidR="000E44FE" w:rsidRPr="00676949">
        <w:rPr>
          <w:rFonts w:ascii="Times New Roman" w:eastAsia="Times New Roman" w:hAnsi="Times New Roman" w:cs="Times New Roman"/>
          <w:sz w:val="24"/>
          <w:szCs w:val="24"/>
        </w:rPr>
        <w:t xml:space="preserve"> consumers </w:t>
      </w:r>
      <w:r w:rsidR="00635365" w:rsidRPr="00676949">
        <w:rPr>
          <w:rFonts w:ascii="Times New Roman" w:eastAsia="Times New Roman" w:hAnsi="Times New Roman" w:cs="Times New Roman"/>
          <w:sz w:val="24"/>
          <w:szCs w:val="24"/>
        </w:rPr>
        <w:t xml:space="preserve">to </w:t>
      </w:r>
      <w:r w:rsidR="000E44FE" w:rsidRPr="00676949">
        <w:rPr>
          <w:rFonts w:ascii="Times New Roman" w:eastAsia="Times New Roman" w:hAnsi="Times New Roman" w:cs="Times New Roman"/>
          <w:sz w:val="24"/>
          <w:szCs w:val="24"/>
        </w:rPr>
        <w:t>incur a debt and defer the right to repay. 12 U.S.C. §</w:t>
      </w:r>
      <w:r w:rsidR="0087037F">
        <w:rPr>
          <w:rFonts w:ascii="Times New Roman" w:eastAsia="Times New Roman" w:hAnsi="Times New Roman" w:cs="Times New Roman"/>
          <w:sz w:val="24"/>
          <w:szCs w:val="24"/>
        </w:rPr>
        <w:t> </w:t>
      </w:r>
      <w:r w:rsidR="000E44FE" w:rsidRPr="00676949">
        <w:rPr>
          <w:rFonts w:ascii="Times New Roman" w:eastAsia="Times New Roman" w:hAnsi="Times New Roman" w:cs="Times New Roman"/>
          <w:sz w:val="24"/>
          <w:szCs w:val="24"/>
        </w:rPr>
        <w:t>5481(7).</w:t>
      </w:r>
    </w:p>
    <w:p w14:paraId="0BF1A479" w14:textId="77777777" w:rsidR="00CA2767" w:rsidRPr="00676949" w:rsidRDefault="002B0A30"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 misrepresentations and omissions regarding the nature of the products they brokered were likely to mislead c</w:t>
      </w:r>
      <w:r w:rsidR="00CA2767" w:rsidRPr="00676949">
        <w:rPr>
          <w:rFonts w:ascii="Times New Roman" w:eastAsia="Times New Roman" w:hAnsi="Times New Roman" w:cs="Times New Roman"/>
          <w:sz w:val="24"/>
          <w:szCs w:val="24"/>
        </w:rPr>
        <w:t>onsumers</w:t>
      </w:r>
      <w:r w:rsidR="0082389E" w:rsidRPr="00676949">
        <w:rPr>
          <w:rFonts w:ascii="Times New Roman" w:eastAsia="Times New Roman" w:hAnsi="Times New Roman" w:cs="Times New Roman"/>
          <w:sz w:val="24"/>
          <w:szCs w:val="24"/>
        </w:rPr>
        <w:t xml:space="preserve"> acting reasonably under the circumstances</w:t>
      </w:r>
      <w:r w:rsidR="00CA2767" w:rsidRPr="00676949">
        <w:rPr>
          <w:rFonts w:ascii="Times New Roman" w:eastAsia="Times New Roman" w:hAnsi="Times New Roman" w:cs="Times New Roman"/>
          <w:sz w:val="24"/>
          <w:szCs w:val="24"/>
        </w:rPr>
        <w:t>.</w:t>
      </w:r>
    </w:p>
    <w:p w14:paraId="503F5C65" w14:textId="77777777" w:rsidR="00CA2767" w:rsidRPr="00676949" w:rsidRDefault="00CD3237"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The Broker Companies’</w:t>
      </w:r>
      <w:r w:rsidR="00CA2767" w:rsidRPr="00676949">
        <w:rPr>
          <w:rFonts w:ascii="Times New Roman" w:eastAsia="Times New Roman" w:hAnsi="Times New Roman" w:cs="Times New Roman"/>
          <w:sz w:val="24"/>
          <w:szCs w:val="24"/>
        </w:rPr>
        <w:t xml:space="preserve"> misrepresentations </w:t>
      </w:r>
      <w:r w:rsidR="002B0A30" w:rsidRPr="00676949">
        <w:rPr>
          <w:rFonts w:ascii="Times New Roman" w:eastAsia="Times New Roman" w:hAnsi="Times New Roman" w:cs="Times New Roman"/>
          <w:sz w:val="24"/>
          <w:szCs w:val="24"/>
        </w:rPr>
        <w:t>and omissions</w:t>
      </w:r>
      <w:r w:rsidR="00601AC9" w:rsidRPr="00676949">
        <w:rPr>
          <w:rFonts w:ascii="Times New Roman" w:eastAsia="Times New Roman" w:hAnsi="Times New Roman" w:cs="Times New Roman"/>
          <w:sz w:val="24"/>
          <w:szCs w:val="24"/>
        </w:rPr>
        <w:t xml:space="preserve"> </w:t>
      </w:r>
      <w:r w:rsidRPr="00676949">
        <w:rPr>
          <w:rFonts w:ascii="Times New Roman" w:eastAsia="Times New Roman" w:hAnsi="Times New Roman" w:cs="Times New Roman"/>
          <w:sz w:val="24"/>
          <w:szCs w:val="24"/>
        </w:rPr>
        <w:t>were</w:t>
      </w:r>
      <w:r w:rsidR="00CA2767" w:rsidRPr="00676949">
        <w:rPr>
          <w:rFonts w:ascii="Times New Roman" w:eastAsia="Times New Roman" w:hAnsi="Times New Roman" w:cs="Times New Roman"/>
          <w:sz w:val="24"/>
          <w:szCs w:val="24"/>
        </w:rPr>
        <w:t xml:space="preserve"> material to consumers because the</w:t>
      </w:r>
      <w:r w:rsidR="00875BED" w:rsidRPr="00676949">
        <w:rPr>
          <w:rFonts w:ascii="Times New Roman" w:eastAsia="Times New Roman" w:hAnsi="Times New Roman" w:cs="Times New Roman"/>
          <w:sz w:val="24"/>
          <w:szCs w:val="24"/>
        </w:rPr>
        <w:t>y</w:t>
      </w:r>
      <w:r w:rsidR="00CA2767" w:rsidRPr="00676949">
        <w:rPr>
          <w:rFonts w:ascii="Times New Roman" w:eastAsia="Times New Roman" w:hAnsi="Times New Roman" w:cs="Times New Roman"/>
          <w:sz w:val="24"/>
          <w:szCs w:val="24"/>
        </w:rPr>
        <w:t xml:space="preserve"> </w:t>
      </w:r>
      <w:r w:rsidR="00D70E4D" w:rsidRPr="00676949">
        <w:rPr>
          <w:rFonts w:ascii="Times New Roman" w:eastAsia="Times New Roman" w:hAnsi="Times New Roman" w:cs="Times New Roman"/>
          <w:sz w:val="24"/>
          <w:szCs w:val="24"/>
        </w:rPr>
        <w:t xml:space="preserve">were likely to influence the decisions of consumers acting reasonably under the circumstances, including by </w:t>
      </w:r>
      <w:r w:rsidR="00CA2767" w:rsidRPr="00676949">
        <w:rPr>
          <w:rFonts w:ascii="Times New Roman" w:eastAsia="Times New Roman" w:hAnsi="Times New Roman" w:cs="Times New Roman"/>
          <w:sz w:val="24"/>
          <w:szCs w:val="24"/>
        </w:rPr>
        <w:t>render</w:t>
      </w:r>
      <w:r w:rsidR="00D70E4D" w:rsidRPr="00676949">
        <w:rPr>
          <w:rFonts w:ascii="Times New Roman" w:eastAsia="Times New Roman" w:hAnsi="Times New Roman" w:cs="Times New Roman"/>
          <w:sz w:val="24"/>
          <w:szCs w:val="24"/>
        </w:rPr>
        <w:t>ing</w:t>
      </w:r>
      <w:r w:rsidR="00CA2767" w:rsidRPr="00676949">
        <w:rPr>
          <w:rFonts w:ascii="Times New Roman" w:eastAsia="Times New Roman" w:hAnsi="Times New Roman" w:cs="Times New Roman"/>
          <w:sz w:val="24"/>
          <w:szCs w:val="24"/>
        </w:rPr>
        <w:t xml:space="preserve"> consumer</w:t>
      </w:r>
      <w:r w:rsidR="00D70E4D" w:rsidRPr="00676949">
        <w:rPr>
          <w:rFonts w:ascii="Times New Roman" w:eastAsia="Times New Roman" w:hAnsi="Times New Roman" w:cs="Times New Roman"/>
          <w:sz w:val="24"/>
          <w:szCs w:val="24"/>
        </w:rPr>
        <w:t>s</w:t>
      </w:r>
      <w:r w:rsidR="00CA2767" w:rsidRPr="00676949">
        <w:rPr>
          <w:rFonts w:ascii="Times New Roman" w:eastAsia="Times New Roman" w:hAnsi="Times New Roman" w:cs="Times New Roman"/>
          <w:sz w:val="24"/>
          <w:szCs w:val="24"/>
        </w:rPr>
        <w:t xml:space="preserve"> unable to compare the cost of </w:t>
      </w:r>
      <w:r w:rsidR="00ED260B" w:rsidRPr="00676949">
        <w:rPr>
          <w:rFonts w:ascii="Times New Roman" w:eastAsia="Times New Roman" w:hAnsi="Times New Roman" w:cs="Times New Roman"/>
          <w:sz w:val="24"/>
          <w:szCs w:val="24"/>
        </w:rPr>
        <w:t>the Broker Companies’</w:t>
      </w:r>
      <w:r w:rsidR="00CA2767" w:rsidRPr="00676949">
        <w:rPr>
          <w:rFonts w:ascii="Times New Roman" w:eastAsia="Times New Roman" w:hAnsi="Times New Roman" w:cs="Times New Roman"/>
          <w:sz w:val="24"/>
          <w:szCs w:val="24"/>
        </w:rPr>
        <w:t xml:space="preserve"> products with other </w:t>
      </w:r>
      <w:r w:rsidR="00D70E4D" w:rsidRPr="00676949">
        <w:rPr>
          <w:rFonts w:ascii="Times New Roman" w:eastAsia="Times New Roman" w:hAnsi="Times New Roman" w:cs="Times New Roman"/>
          <w:sz w:val="24"/>
          <w:szCs w:val="24"/>
        </w:rPr>
        <w:t>potential sources of credit.</w:t>
      </w:r>
    </w:p>
    <w:p w14:paraId="29C86F80" w14:textId="77777777" w:rsidR="00496405" w:rsidRPr="00676949" w:rsidRDefault="00496405"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Therefore, </w:t>
      </w:r>
      <w:r w:rsidR="00ED260B" w:rsidRPr="00676949">
        <w:rPr>
          <w:rFonts w:ascii="Times New Roman" w:eastAsia="Times New Roman" w:hAnsi="Times New Roman" w:cs="Times New Roman"/>
          <w:sz w:val="24"/>
          <w:szCs w:val="24"/>
        </w:rPr>
        <w:t>the Broker Companies</w:t>
      </w:r>
      <w:r w:rsidRPr="00676949">
        <w:rPr>
          <w:rFonts w:ascii="Times New Roman" w:eastAsia="Times New Roman" w:hAnsi="Times New Roman" w:cs="Times New Roman"/>
          <w:sz w:val="24"/>
          <w:szCs w:val="24"/>
        </w:rPr>
        <w:t xml:space="preserve"> engaged in deceptive acts </w:t>
      </w:r>
      <w:r w:rsidR="005737A1" w:rsidRPr="00676949">
        <w:rPr>
          <w:rFonts w:ascii="Times New Roman" w:eastAsia="Times New Roman" w:hAnsi="Times New Roman" w:cs="Times New Roman"/>
          <w:sz w:val="24"/>
          <w:szCs w:val="24"/>
        </w:rPr>
        <w:t xml:space="preserve">or </w:t>
      </w:r>
      <w:r w:rsidRPr="00676949">
        <w:rPr>
          <w:rFonts w:ascii="Times New Roman" w:eastAsia="Times New Roman" w:hAnsi="Times New Roman" w:cs="Times New Roman"/>
          <w:sz w:val="24"/>
          <w:szCs w:val="24"/>
        </w:rPr>
        <w:t xml:space="preserve">practices in violation of the CFPA. 12 U.S.C. </w:t>
      </w:r>
      <w:r w:rsidR="0082389E" w:rsidRPr="00676949">
        <w:rPr>
          <w:rFonts w:ascii="Times New Roman" w:eastAsia="Times New Roman" w:hAnsi="Times New Roman" w:cs="Times New Roman"/>
          <w:sz w:val="24"/>
          <w:szCs w:val="24"/>
        </w:rPr>
        <w:t>§§ 5531(a),</w:t>
      </w:r>
      <w:r w:rsidRPr="00676949">
        <w:rPr>
          <w:rFonts w:ascii="Times New Roman" w:eastAsia="Times New Roman" w:hAnsi="Times New Roman" w:cs="Times New Roman"/>
          <w:sz w:val="24"/>
          <w:szCs w:val="24"/>
        </w:rPr>
        <w:t xml:space="preserve"> 5536(a)(1)(B).</w:t>
      </w:r>
    </w:p>
    <w:p w14:paraId="096A4F0E" w14:textId="1387180E" w:rsidR="00B738F7" w:rsidRPr="00676949" w:rsidRDefault="00B738F7" w:rsidP="00B738F7">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provided substantial assistance to the Broker Companies’ deceptive acts </w:t>
      </w:r>
      <w:r w:rsidR="005737A1" w:rsidRPr="00676949">
        <w:rPr>
          <w:rFonts w:ascii="Times New Roman" w:eastAsia="Times New Roman" w:hAnsi="Times New Roman" w:cs="Times New Roman"/>
          <w:sz w:val="24"/>
          <w:szCs w:val="24"/>
        </w:rPr>
        <w:t xml:space="preserve">or </w:t>
      </w:r>
      <w:r w:rsidRPr="00676949">
        <w:rPr>
          <w:rFonts w:ascii="Times New Roman" w:eastAsia="Times New Roman" w:hAnsi="Times New Roman" w:cs="Times New Roman"/>
          <w:sz w:val="24"/>
          <w:szCs w:val="24"/>
        </w:rPr>
        <w:t>practices by: developing a pre-approval or risk</w:t>
      </w:r>
      <w:r w:rsidR="0079252B" w:rsidRPr="00676949">
        <w:rPr>
          <w:rFonts w:ascii="Times New Roman" w:eastAsia="Times New Roman" w:hAnsi="Times New Roman" w:cs="Times New Roman"/>
          <w:sz w:val="24"/>
          <w:szCs w:val="24"/>
        </w:rPr>
        <w:t>-</w:t>
      </w:r>
      <w:r w:rsidRPr="00676949">
        <w:rPr>
          <w:rFonts w:ascii="Times New Roman" w:eastAsia="Times New Roman" w:hAnsi="Times New Roman" w:cs="Times New Roman"/>
          <w:sz w:val="24"/>
          <w:szCs w:val="24"/>
        </w:rPr>
        <w:t>assessment process for the contracts and conducting underwriting; approving or denying consumers’ applications to enter into the transactions; directing and administering the execution of the contracts; serving as the payment processor for the initial lum</w:t>
      </w:r>
      <w:r w:rsidR="0079252B" w:rsidRPr="00676949">
        <w:rPr>
          <w:rFonts w:ascii="Times New Roman" w:eastAsia="Times New Roman" w:hAnsi="Times New Roman" w:cs="Times New Roman"/>
          <w:sz w:val="24"/>
          <w:szCs w:val="24"/>
        </w:rPr>
        <w:t>p-</w:t>
      </w:r>
      <w:r w:rsidRPr="00676949">
        <w:rPr>
          <w:rFonts w:ascii="Times New Roman" w:eastAsia="Times New Roman" w:hAnsi="Times New Roman" w:cs="Times New Roman"/>
          <w:sz w:val="24"/>
          <w:szCs w:val="24"/>
        </w:rPr>
        <w:t>sum payment and fees; and continuing to serve as the transactions’ payment processor, tracking and controlling the collection and distribution of consumers’ payments on the contracts.</w:t>
      </w:r>
    </w:p>
    <w:p w14:paraId="4E677F7C" w14:textId="77777777" w:rsidR="00F93EE5" w:rsidRPr="00676949" w:rsidRDefault="00F93EE5" w:rsidP="00B738F7">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Defendants knowingly or recklessly provided this substantial assistance. Defendants knew or should have known that the contracts </w:t>
      </w:r>
      <w:r w:rsidR="00DF4FF6" w:rsidRPr="00676949">
        <w:rPr>
          <w:rFonts w:ascii="Times New Roman" w:eastAsia="Times New Roman" w:hAnsi="Times New Roman" w:cs="Times New Roman"/>
          <w:sz w:val="24"/>
          <w:szCs w:val="24"/>
        </w:rPr>
        <w:t xml:space="preserve">were </w:t>
      </w:r>
      <w:r w:rsidR="00601AC9" w:rsidRPr="00676949">
        <w:rPr>
          <w:rFonts w:ascii="Times New Roman" w:eastAsia="Times New Roman" w:hAnsi="Times New Roman" w:cs="Times New Roman"/>
          <w:sz w:val="24"/>
          <w:szCs w:val="24"/>
        </w:rPr>
        <w:t>not sales but high-interest credit offers</w:t>
      </w:r>
      <w:r w:rsidRPr="00676949">
        <w:rPr>
          <w:rFonts w:ascii="Times New Roman" w:eastAsia="Times New Roman" w:hAnsi="Times New Roman" w:cs="Times New Roman"/>
          <w:sz w:val="24"/>
          <w:szCs w:val="24"/>
        </w:rPr>
        <w:t>. Defendants were aware of multiple publicly available cease-and-desist orders issued against the Broker Companies</w:t>
      </w:r>
      <w:r w:rsidR="00A31E47" w:rsidRPr="00676949">
        <w:rPr>
          <w:rFonts w:ascii="Times New Roman" w:eastAsia="Times New Roman" w:hAnsi="Times New Roman" w:cs="Times New Roman"/>
          <w:sz w:val="24"/>
          <w:szCs w:val="24"/>
        </w:rPr>
        <w:t xml:space="preserve"> by state regulators</w:t>
      </w:r>
      <w:r w:rsidRPr="00676949">
        <w:rPr>
          <w:rFonts w:ascii="Times New Roman" w:eastAsia="Times New Roman" w:hAnsi="Times New Roman" w:cs="Times New Roman"/>
          <w:sz w:val="24"/>
          <w:szCs w:val="24"/>
        </w:rPr>
        <w:t xml:space="preserve"> and of various private lawsuits attacking the business model of the Broker Companies and other companies with similar business models. </w:t>
      </w:r>
    </w:p>
    <w:p w14:paraId="5C6E9B0B" w14:textId="25EF1762" w:rsidR="009C732A" w:rsidRPr="00CE5BB1" w:rsidRDefault="006E223C" w:rsidP="00CE5BB1">
      <w:pPr>
        <w:numPr>
          <w:ilvl w:val="0"/>
          <w:numId w:val="1"/>
        </w:numPr>
        <w:spacing w:after="0" w:line="480" w:lineRule="auto"/>
        <w:ind w:left="0" w:firstLine="720"/>
        <w:contextualSpacing/>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Therefore, Defendants are deemed to have engaged in deceptive acts </w:t>
      </w:r>
      <w:r w:rsidR="0046139C" w:rsidRPr="00676949">
        <w:rPr>
          <w:rFonts w:ascii="Times New Roman" w:eastAsia="Times New Roman" w:hAnsi="Times New Roman" w:cs="Times New Roman"/>
          <w:sz w:val="24"/>
          <w:szCs w:val="24"/>
        </w:rPr>
        <w:t>or</w:t>
      </w:r>
      <w:r w:rsidRPr="00676949">
        <w:rPr>
          <w:rFonts w:ascii="Times New Roman" w:eastAsia="Times New Roman" w:hAnsi="Times New Roman" w:cs="Times New Roman"/>
          <w:sz w:val="24"/>
          <w:szCs w:val="24"/>
        </w:rPr>
        <w:t xml:space="preserve"> practices in violation of the CFPA to the same extent as the Broker Companies. </w:t>
      </w:r>
      <w:r w:rsidR="00BB31F7" w:rsidRPr="00676949">
        <w:rPr>
          <w:rFonts w:ascii="Times New Roman" w:eastAsia="Times New Roman" w:hAnsi="Times New Roman" w:cs="Times New Roman"/>
          <w:sz w:val="24"/>
          <w:szCs w:val="24"/>
        </w:rPr>
        <w:t>12 U.S.C. § 5536(A)(3).</w:t>
      </w:r>
    </w:p>
    <w:p w14:paraId="1A3EE936" w14:textId="77777777" w:rsidR="007753CF" w:rsidRPr="00676949" w:rsidRDefault="007753CF" w:rsidP="005737A1">
      <w:pPr>
        <w:pStyle w:val="ListParagraph"/>
        <w:keepNext/>
        <w:spacing w:after="0" w:line="240" w:lineRule="auto"/>
        <w:ind w:left="0"/>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Count III</w:t>
      </w:r>
    </w:p>
    <w:p w14:paraId="49AE7D92" w14:textId="77777777" w:rsidR="0079252B" w:rsidRPr="00676949" w:rsidRDefault="007753CF" w:rsidP="006458B5">
      <w:pPr>
        <w:pStyle w:val="ListParagraph"/>
        <w:keepNext/>
        <w:spacing w:after="0" w:line="240" w:lineRule="auto"/>
        <w:ind w:left="0"/>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Substantial Assistance for </w:t>
      </w:r>
    </w:p>
    <w:p w14:paraId="70548A68" w14:textId="40B288FC" w:rsidR="007753CF" w:rsidRPr="00676949" w:rsidRDefault="007753CF" w:rsidP="00E85221">
      <w:pPr>
        <w:pStyle w:val="ListParagraph"/>
        <w:keepNext/>
        <w:spacing w:after="0" w:line="240" w:lineRule="auto"/>
        <w:ind w:left="0"/>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Unfair Acts or Practices, in Violation to the CFPA</w:t>
      </w:r>
      <w:r w:rsidR="0079252B" w:rsidRPr="00676949">
        <w:rPr>
          <w:rFonts w:ascii="Times New Roman" w:eastAsia="Times New Roman" w:hAnsi="Times New Roman" w:cs="Times New Roman"/>
          <w:b/>
          <w:sz w:val="24"/>
          <w:szCs w:val="24"/>
        </w:rPr>
        <w:t>,</w:t>
      </w:r>
    </w:p>
    <w:p w14:paraId="764EBD3A" w14:textId="3F2686FC" w:rsidR="007753CF" w:rsidRPr="00676949" w:rsidRDefault="007753CF" w:rsidP="00E85221">
      <w:pPr>
        <w:keepNext/>
        <w:spacing w:after="0" w:line="240" w:lineRule="auto"/>
        <w:jc w:val="center"/>
        <w:rPr>
          <w:rFonts w:ascii="Times New Roman" w:eastAsia="Times New Roman" w:hAnsi="Times New Roman" w:cs="Times New Roman"/>
          <w:b/>
          <w:sz w:val="24"/>
          <w:szCs w:val="24"/>
        </w:rPr>
      </w:pPr>
      <w:r w:rsidRPr="00676949">
        <w:rPr>
          <w:rFonts w:ascii="Times New Roman" w:eastAsia="Times New Roman" w:hAnsi="Times New Roman" w:cs="Times New Roman"/>
          <w:b/>
          <w:sz w:val="24"/>
          <w:szCs w:val="24"/>
        </w:rPr>
        <w:t xml:space="preserve">Asserted by the Bureau, </w:t>
      </w:r>
      <w:r w:rsidR="009832D0">
        <w:rPr>
          <w:rFonts w:ascii="Times New Roman" w:eastAsia="Times New Roman" w:hAnsi="Times New Roman" w:cs="Times New Roman"/>
          <w:b/>
          <w:sz w:val="24"/>
          <w:szCs w:val="24"/>
        </w:rPr>
        <w:t>the Department</w:t>
      </w:r>
      <w:r w:rsidRPr="00676949">
        <w:rPr>
          <w:rFonts w:ascii="Times New Roman" w:eastAsia="Times New Roman" w:hAnsi="Times New Roman" w:cs="Times New Roman"/>
          <w:b/>
          <w:sz w:val="24"/>
          <w:szCs w:val="24"/>
        </w:rPr>
        <w:t>, and Arkansas</w:t>
      </w:r>
    </w:p>
    <w:p w14:paraId="45BE473E" w14:textId="77777777" w:rsidR="007753CF" w:rsidRPr="00676949" w:rsidRDefault="007753CF" w:rsidP="007753CF">
      <w:pPr>
        <w:spacing w:after="0" w:line="240" w:lineRule="auto"/>
        <w:ind w:firstLine="720"/>
        <w:jc w:val="center"/>
        <w:rPr>
          <w:rFonts w:ascii="Times New Roman" w:eastAsia="Times New Roman" w:hAnsi="Times New Roman" w:cs="Times New Roman"/>
          <w:b/>
          <w:sz w:val="24"/>
          <w:szCs w:val="24"/>
        </w:rPr>
      </w:pPr>
    </w:p>
    <w:p w14:paraId="2FBFE207"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676949">
        <w:rPr>
          <w:rFonts w:ascii="Times New Roman" w:eastAsia="Times New Roman" w:hAnsi="Times New Roman" w:cs="Times New Roman"/>
          <w:sz w:val="24"/>
          <w:szCs w:val="24"/>
        </w:rPr>
        <w:t xml:space="preserve">The allegations in paragraphs 1 to </w:t>
      </w:r>
      <w:r w:rsidR="00D12BB3" w:rsidRPr="00676949">
        <w:rPr>
          <w:rFonts w:ascii="Times New Roman" w:eastAsia="Times New Roman" w:hAnsi="Times New Roman" w:cs="Times New Roman"/>
          <w:sz w:val="24"/>
          <w:szCs w:val="24"/>
        </w:rPr>
        <w:t>34</w:t>
      </w:r>
      <w:r w:rsidRPr="00B92FCF">
        <w:rPr>
          <w:rFonts w:ascii="Times New Roman" w:eastAsia="Times New Roman" w:hAnsi="Times New Roman" w:cs="Times New Roman"/>
          <w:sz w:val="24"/>
          <w:szCs w:val="24"/>
        </w:rPr>
        <w:t xml:space="preserve"> are incorporated here by reference.</w:t>
      </w:r>
    </w:p>
    <w:p w14:paraId="6F4EEB79"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An act or practice is unfair if it causes or is likely to cause consumers substantial injury that is not reasonably avoidable and is not outweighed by countervailing benefits to consumers or to competition.</w:t>
      </w:r>
    </w:p>
    <w:p w14:paraId="41AC855B"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 Broker Companies failed to inform consumers of their products’ interest rates.</w:t>
      </w:r>
    </w:p>
    <w:p w14:paraId="1284CC67"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 Broker Companies’ practice caused or likely caused substantial injury to consumers because it prevented consumers from comparing alternative products. And by failing to inform consumers about the products’ interest rates, the Broker Companies deprived consumers of information consumers would need to determine whether the product was usurious and therefore potentially unlawful under their state’s law.</w:t>
      </w:r>
    </w:p>
    <w:p w14:paraId="0BA244D1"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Consumers could not reasonably have avoided injury in this situation; consumers could not reasonably be expected to make the interest-rate calculation themselves, particularly after the Broker Companies misrepresented that the product was not a high-interest credit offer.</w:t>
      </w:r>
    </w:p>
    <w:p w14:paraId="6B36BEA5" w14:textId="77777777"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This injury was not outweighed by countervailing benefits to consumers or competition.</w:t>
      </w:r>
    </w:p>
    <w:p w14:paraId="2E3CAD0A" w14:textId="5A942121" w:rsidR="007753CF" w:rsidRPr="00B92FCF" w:rsidRDefault="007753CF"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Therefore, the Broker Companies engaged in unfair acts </w:t>
      </w:r>
      <w:r w:rsidR="00F63EDF" w:rsidRPr="00B92FCF">
        <w:rPr>
          <w:rFonts w:ascii="Times New Roman" w:eastAsia="Times New Roman" w:hAnsi="Times New Roman" w:cs="Times New Roman"/>
          <w:sz w:val="24"/>
          <w:szCs w:val="24"/>
        </w:rPr>
        <w:t xml:space="preserve">or </w:t>
      </w:r>
      <w:r w:rsidRPr="00B92FCF">
        <w:rPr>
          <w:rFonts w:ascii="Times New Roman" w:eastAsia="Times New Roman" w:hAnsi="Times New Roman" w:cs="Times New Roman"/>
          <w:sz w:val="24"/>
          <w:szCs w:val="24"/>
        </w:rPr>
        <w:t>practices in violation of the CFPA</w:t>
      </w:r>
      <w:r w:rsidR="0079252B" w:rsidRPr="00B92FCF">
        <w:rPr>
          <w:rFonts w:ascii="Times New Roman" w:eastAsia="Times New Roman" w:hAnsi="Times New Roman" w:cs="Times New Roman"/>
          <w:sz w:val="24"/>
          <w:szCs w:val="24"/>
        </w:rPr>
        <w:t>.</w:t>
      </w:r>
      <w:r w:rsidRPr="00B92FCF">
        <w:rPr>
          <w:rFonts w:ascii="Times New Roman" w:eastAsia="Times New Roman" w:hAnsi="Times New Roman" w:cs="Times New Roman"/>
          <w:sz w:val="24"/>
          <w:szCs w:val="24"/>
        </w:rPr>
        <w:t xml:space="preserve"> 12 U.S.C. §§ 5531(c), 5536(a)(1)(B).</w:t>
      </w:r>
    </w:p>
    <w:p w14:paraId="68C71E17" w14:textId="0F87597D" w:rsidR="00B738F7" w:rsidRPr="00B92FCF" w:rsidRDefault="00B738F7" w:rsidP="00B738F7">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Defendants provided substantial assistance to the Broker Companies’ unfair acts </w:t>
      </w:r>
      <w:r w:rsidR="00405F7B" w:rsidRPr="00B92FCF">
        <w:rPr>
          <w:rFonts w:ascii="Times New Roman" w:eastAsia="Times New Roman" w:hAnsi="Times New Roman" w:cs="Times New Roman"/>
          <w:sz w:val="24"/>
          <w:szCs w:val="24"/>
        </w:rPr>
        <w:t>or</w:t>
      </w:r>
      <w:r w:rsidRPr="00B92FCF">
        <w:rPr>
          <w:rFonts w:ascii="Times New Roman" w:eastAsia="Times New Roman" w:hAnsi="Times New Roman" w:cs="Times New Roman"/>
          <w:sz w:val="24"/>
          <w:szCs w:val="24"/>
        </w:rPr>
        <w:t xml:space="preserve"> practices by: developing a pre-approval or risk</w:t>
      </w:r>
      <w:r w:rsidR="0079252B" w:rsidRPr="00B92FCF">
        <w:rPr>
          <w:rFonts w:ascii="Times New Roman" w:eastAsia="Times New Roman" w:hAnsi="Times New Roman" w:cs="Times New Roman"/>
          <w:sz w:val="24"/>
          <w:szCs w:val="24"/>
        </w:rPr>
        <w:t>-</w:t>
      </w:r>
      <w:r w:rsidRPr="00B92FCF">
        <w:rPr>
          <w:rFonts w:ascii="Times New Roman" w:eastAsia="Times New Roman" w:hAnsi="Times New Roman" w:cs="Times New Roman"/>
          <w:sz w:val="24"/>
          <w:szCs w:val="24"/>
        </w:rPr>
        <w:t>assessment process for the contracts and conducting underwriting; approving or denying consumers’ applications to enter into the transactions; directing and administering the execution of the contracts; serving as the payment processor for the initial lump</w:t>
      </w:r>
      <w:r w:rsidR="0079252B" w:rsidRPr="00B92FCF">
        <w:rPr>
          <w:rFonts w:ascii="Times New Roman" w:eastAsia="Times New Roman" w:hAnsi="Times New Roman" w:cs="Times New Roman"/>
          <w:sz w:val="24"/>
          <w:szCs w:val="24"/>
        </w:rPr>
        <w:t>-</w:t>
      </w:r>
      <w:r w:rsidRPr="00B92FCF">
        <w:rPr>
          <w:rFonts w:ascii="Times New Roman" w:eastAsia="Times New Roman" w:hAnsi="Times New Roman" w:cs="Times New Roman"/>
          <w:sz w:val="24"/>
          <w:szCs w:val="24"/>
        </w:rPr>
        <w:t>sum payment and fees; and continuing to serve as the transactions’ payment processor, tracking and controlling the collection and distribution of consumers’ payments on the contracts.</w:t>
      </w:r>
    </w:p>
    <w:p w14:paraId="39DA40CE" w14:textId="77777777" w:rsidR="007753CF" w:rsidRPr="00B92FCF"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Defendants knowingly or recklessly provided this substantial assistance. Defendants knew or should have known that the Broker Companies’ products carried an interest rate and that the Broker Companies did not disclose any interest rate to consumers. Defendants were aware of multiple publicly available cease-and-desist orders issued against the Broker Companies and of various private lawsuits attacking the business model of the Broker Companies and other companies with similar business models. </w:t>
      </w:r>
    </w:p>
    <w:p w14:paraId="04F5009F" w14:textId="77777777" w:rsidR="007753CF" w:rsidRPr="00B92FCF"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Therefore, Defendants are deemed to have engaged in unfair acts </w:t>
      </w:r>
      <w:r w:rsidR="00405F7B" w:rsidRPr="00B92FCF">
        <w:rPr>
          <w:rFonts w:ascii="Times New Roman" w:eastAsia="Times New Roman" w:hAnsi="Times New Roman" w:cs="Times New Roman"/>
          <w:sz w:val="24"/>
          <w:szCs w:val="24"/>
        </w:rPr>
        <w:t>or</w:t>
      </w:r>
      <w:r w:rsidRPr="00B92FCF">
        <w:rPr>
          <w:rFonts w:ascii="Times New Roman" w:eastAsia="Times New Roman" w:hAnsi="Times New Roman" w:cs="Times New Roman"/>
          <w:sz w:val="24"/>
          <w:szCs w:val="24"/>
        </w:rPr>
        <w:t xml:space="preserve"> practices in violation of the CFPA to the same extent as the Broker Companies. 12 U.S.C. § 5536(A)(3).</w:t>
      </w:r>
    </w:p>
    <w:p w14:paraId="462588D0" w14:textId="77777777" w:rsidR="007753CF" w:rsidRPr="00B92FCF" w:rsidRDefault="007753CF" w:rsidP="007753CF">
      <w:pPr>
        <w:pStyle w:val="ListParagraph"/>
        <w:keepNext/>
        <w:spacing w:after="0" w:line="240" w:lineRule="auto"/>
        <w:ind w:left="0" w:firstLine="720"/>
        <w:jc w:val="center"/>
        <w:rPr>
          <w:rFonts w:ascii="Times New Roman" w:eastAsia="Times New Roman" w:hAnsi="Times New Roman" w:cs="Times New Roman"/>
          <w:b/>
          <w:sz w:val="24"/>
          <w:szCs w:val="24"/>
        </w:rPr>
      </w:pPr>
    </w:p>
    <w:p w14:paraId="28FE5E1E" w14:textId="77777777" w:rsidR="009C732A" w:rsidRPr="00B92FCF" w:rsidRDefault="007753CF" w:rsidP="00E85221">
      <w:pPr>
        <w:pStyle w:val="ListParagraph"/>
        <w:keepNext/>
        <w:spacing w:after="0" w:line="240" w:lineRule="auto"/>
        <w:ind w:left="0"/>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Count IV</w:t>
      </w:r>
    </w:p>
    <w:p w14:paraId="3D7F3B2C" w14:textId="77777777" w:rsidR="0079252B" w:rsidRPr="00B92FCF" w:rsidRDefault="006E223C" w:rsidP="00E85221">
      <w:pPr>
        <w:keepNext/>
        <w:spacing w:after="0" w:line="240" w:lineRule="auto"/>
        <w:contextualSpacing/>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Substantial Assistance for</w:t>
      </w:r>
    </w:p>
    <w:p w14:paraId="1F1A1C0D" w14:textId="267A1B08" w:rsidR="009C732A" w:rsidRPr="00B92FCF" w:rsidRDefault="009C732A" w:rsidP="00E85221">
      <w:pPr>
        <w:keepNext/>
        <w:spacing w:after="0" w:line="240" w:lineRule="auto"/>
        <w:contextualSpacing/>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Deceptive Acts or Practices, in Violation of the CFPA</w:t>
      </w:r>
      <w:r w:rsidR="0079252B" w:rsidRPr="00B92FCF">
        <w:rPr>
          <w:rFonts w:ascii="Times New Roman" w:eastAsia="Times New Roman" w:hAnsi="Times New Roman" w:cs="Times New Roman"/>
          <w:b/>
          <w:sz w:val="24"/>
          <w:szCs w:val="24"/>
        </w:rPr>
        <w:t>,</w:t>
      </w:r>
    </w:p>
    <w:p w14:paraId="47B2ED3F" w14:textId="0945AB33" w:rsidR="00D06EB8" w:rsidRPr="00B92FCF" w:rsidRDefault="009C732A" w:rsidP="00E85221">
      <w:pPr>
        <w:keepNext/>
        <w:spacing w:after="0" w:line="240" w:lineRule="auto"/>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Asserted by the Bureau</w:t>
      </w:r>
      <w:r w:rsidR="00870886" w:rsidRPr="00B92FCF">
        <w:rPr>
          <w:rFonts w:ascii="Times New Roman" w:eastAsia="Times New Roman" w:hAnsi="Times New Roman" w:cs="Times New Roman"/>
          <w:b/>
          <w:sz w:val="24"/>
          <w:szCs w:val="24"/>
        </w:rPr>
        <w:t>,</w:t>
      </w:r>
      <w:r w:rsidR="00BB31F7" w:rsidRPr="00B92FCF">
        <w:rPr>
          <w:rFonts w:ascii="Times New Roman" w:eastAsia="Times New Roman" w:hAnsi="Times New Roman" w:cs="Times New Roman"/>
          <w:b/>
          <w:sz w:val="24"/>
          <w:szCs w:val="24"/>
        </w:rPr>
        <w:t xml:space="preserve"> </w:t>
      </w:r>
      <w:r w:rsidR="009832D0">
        <w:rPr>
          <w:rFonts w:ascii="Times New Roman" w:eastAsia="Times New Roman" w:hAnsi="Times New Roman" w:cs="Times New Roman"/>
          <w:b/>
          <w:sz w:val="24"/>
          <w:szCs w:val="24"/>
        </w:rPr>
        <w:t>the Department</w:t>
      </w:r>
      <w:r w:rsidR="00870886" w:rsidRPr="00B92FCF">
        <w:rPr>
          <w:rFonts w:ascii="Times New Roman" w:eastAsia="Times New Roman" w:hAnsi="Times New Roman" w:cs="Times New Roman"/>
          <w:b/>
          <w:sz w:val="24"/>
          <w:szCs w:val="24"/>
        </w:rPr>
        <w:t>, and Arkansas</w:t>
      </w:r>
    </w:p>
    <w:p w14:paraId="36447183" w14:textId="77777777" w:rsidR="009C732A" w:rsidRPr="00B92FCF" w:rsidRDefault="009C732A" w:rsidP="00E85221">
      <w:pPr>
        <w:pStyle w:val="ListParagraph"/>
        <w:keepNext/>
        <w:spacing w:after="0" w:line="240" w:lineRule="auto"/>
        <w:ind w:left="0"/>
        <w:jc w:val="center"/>
        <w:rPr>
          <w:rFonts w:ascii="Times New Roman" w:eastAsia="Times New Roman" w:hAnsi="Times New Roman" w:cs="Times New Roman"/>
          <w:b/>
          <w:sz w:val="24"/>
          <w:szCs w:val="24"/>
        </w:rPr>
      </w:pPr>
    </w:p>
    <w:p w14:paraId="7AC39071" w14:textId="77777777" w:rsidR="009C732A" w:rsidRPr="00B92FCF" w:rsidRDefault="009C732A"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 allegations in paragraphs 1 to </w:t>
      </w:r>
      <w:r w:rsidR="00D12BB3" w:rsidRPr="00B92FCF">
        <w:rPr>
          <w:rFonts w:ascii="Times New Roman" w:eastAsia="Times New Roman" w:hAnsi="Times New Roman" w:cs="Times New Roman"/>
          <w:sz w:val="24"/>
          <w:szCs w:val="24"/>
        </w:rPr>
        <w:t>34</w:t>
      </w:r>
      <w:r w:rsidRPr="00B92FCF">
        <w:rPr>
          <w:rFonts w:ascii="Times New Roman" w:eastAsia="Times New Roman" w:hAnsi="Times New Roman" w:cs="Times New Roman"/>
          <w:sz w:val="24"/>
          <w:szCs w:val="24"/>
        </w:rPr>
        <w:t xml:space="preserve"> are incorporated here by reference.</w:t>
      </w:r>
    </w:p>
    <w:p w14:paraId="3B8947CC" w14:textId="77777777" w:rsidR="007753CF" w:rsidRPr="00B92FCF"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 Broker Companies are covered persons under the CFPA because they engaged in brokering extensions of credit to consumers. 12 U.S.C. § 5481(5)-(7), (15)(A)(i).</w:t>
      </w:r>
    </w:p>
    <w:p w14:paraId="1C94239F" w14:textId="77777777" w:rsidR="007753CF" w:rsidRPr="00B92FCF"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An act or practice is deceptive if it involves a material misrepresentation or omission that is likely to mislead consumers acting reasonably under the circumstances. </w:t>
      </w:r>
    </w:p>
    <w:p w14:paraId="7A273B50" w14:textId="77777777" w:rsidR="007753CF" w:rsidRPr="00B92FCF" w:rsidRDefault="007753CF"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Calibri" w:hAnsi="Times New Roman" w:cs="Times New Roman"/>
          <w:sz w:val="24"/>
          <w:szCs w:val="24"/>
        </w:rPr>
        <w:t xml:space="preserve">Information that is material to consumers is information that is likely to affect a consumer’s choice of, or conduct regarding, a product or service. </w:t>
      </w:r>
    </w:p>
    <w:p w14:paraId="4E1B60E0" w14:textId="77777777" w:rsidR="00BB31F7" w:rsidRPr="00B92FCF" w:rsidRDefault="00BB31F7"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 Broker Companies</w:t>
      </w:r>
      <w:r w:rsidR="00234511" w:rsidRPr="00B92FCF">
        <w:rPr>
          <w:rFonts w:ascii="Times New Roman" w:eastAsia="Times New Roman" w:hAnsi="Times New Roman" w:cs="Times New Roman"/>
          <w:sz w:val="24"/>
          <w:szCs w:val="24"/>
        </w:rPr>
        <w:t xml:space="preserve"> represented to consumers that consumers may be subject to criminal prosecution if they breached their contacts. In fact, </w:t>
      </w:r>
      <w:r w:rsidR="00F32E01" w:rsidRPr="00B92FCF">
        <w:rPr>
          <w:rFonts w:ascii="Times New Roman" w:eastAsia="Times New Roman" w:hAnsi="Times New Roman" w:cs="Times New Roman"/>
          <w:sz w:val="24"/>
          <w:szCs w:val="24"/>
        </w:rPr>
        <w:t xml:space="preserve">the </w:t>
      </w:r>
      <w:r w:rsidR="00234511" w:rsidRPr="00B92FCF">
        <w:rPr>
          <w:rFonts w:ascii="Times New Roman" w:eastAsia="Times New Roman" w:hAnsi="Times New Roman" w:cs="Times New Roman"/>
          <w:sz w:val="24"/>
          <w:szCs w:val="24"/>
        </w:rPr>
        <w:t xml:space="preserve">consumers could not be criminally prosecuted for breaching their contracts.  </w:t>
      </w:r>
    </w:p>
    <w:p w14:paraId="0B60521C" w14:textId="77777777" w:rsidR="00234511" w:rsidRPr="00B92FCF" w:rsidRDefault="002B0A30"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 Broker Companies’ misrepresentation that consumers could be criminally prosecuted for failing to pay was likely to mislead c</w:t>
      </w:r>
      <w:r w:rsidR="00234511" w:rsidRPr="00B92FCF">
        <w:rPr>
          <w:rFonts w:ascii="Times New Roman" w:eastAsia="Times New Roman" w:hAnsi="Times New Roman" w:cs="Times New Roman"/>
          <w:sz w:val="24"/>
          <w:szCs w:val="24"/>
        </w:rPr>
        <w:t>onsumers acting reasonably under the circumstances.</w:t>
      </w:r>
    </w:p>
    <w:p w14:paraId="093AC2C2" w14:textId="77777777" w:rsidR="00234511" w:rsidRPr="00B92FCF" w:rsidRDefault="00234511"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 Broker Companies’ misrepresentation </w:t>
      </w:r>
      <w:r w:rsidR="00F32E01" w:rsidRPr="00B92FCF">
        <w:rPr>
          <w:rFonts w:ascii="Times New Roman" w:eastAsia="Times New Roman" w:hAnsi="Times New Roman" w:cs="Times New Roman"/>
          <w:sz w:val="24"/>
          <w:szCs w:val="24"/>
        </w:rPr>
        <w:t>was</w:t>
      </w:r>
      <w:r w:rsidRPr="00B92FCF">
        <w:rPr>
          <w:rFonts w:ascii="Times New Roman" w:eastAsia="Times New Roman" w:hAnsi="Times New Roman" w:cs="Times New Roman"/>
          <w:sz w:val="24"/>
          <w:szCs w:val="24"/>
        </w:rPr>
        <w:t xml:space="preserve"> material to consumers because </w:t>
      </w:r>
      <w:r w:rsidR="00D70E4D" w:rsidRPr="00B92FCF">
        <w:rPr>
          <w:rFonts w:ascii="Times New Roman" w:eastAsia="Times New Roman" w:hAnsi="Times New Roman" w:cs="Times New Roman"/>
          <w:sz w:val="24"/>
          <w:szCs w:val="24"/>
        </w:rPr>
        <w:t>it was likely to influence the decisions of consumers acting reasonably under the circumstances, including by causing consumers to pay money they were not legally obligated to pay.</w:t>
      </w:r>
    </w:p>
    <w:p w14:paraId="2E4E4400" w14:textId="77777777" w:rsidR="00F32E01" w:rsidRPr="00B92FCF" w:rsidRDefault="00F32E01"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Therefore, the Broker Companies engaged in deceptive acts </w:t>
      </w:r>
      <w:r w:rsidR="00405F7B" w:rsidRPr="00B92FCF">
        <w:rPr>
          <w:rFonts w:ascii="Times New Roman" w:eastAsia="Times New Roman" w:hAnsi="Times New Roman" w:cs="Times New Roman"/>
          <w:sz w:val="24"/>
          <w:szCs w:val="24"/>
        </w:rPr>
        <w:t>or</w:t>
      </w:r>
      <w:r w:rsidRPr="00B92FCF">
        <w:rPr>
          <w:rFonts w:ascii="Times New Roman" w:eastAsia="Times New Roman" w:hAnsi="Times New Roman" w:cs="Times New Roman"/>
          <w:sz w:val="24"/>
          <w:szCs w:val="24"/>
        </w:rPr>
        <w:t xml:space="preserve"> practices in violation of the CFPA. 12 U.S.C. §§ 5531(a), 5536(a)(1)(B).</w:t>
      </w:r>
    </w:p>
    <w:p w14:paraId="0B937E55" w14:textId="356BD9CC" w:rsidR="00B738F7" w:rsidRPr="00B92FCF" w:rsidRDefault="00B738F7" w:rsidP="00B738F7">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Defendants provided substantial assistance to the Broker Companies’ deceptive acts </w:t>
      </w:r>
      <w:r w:rsidR="006458B5" w:rsidRPr="00B92FCF">
        <w:rPr>
          <w:rFonts w:ascii="Times New Roman" w:eastAsia="Times New Roman" w:hAnsi="Times New Roman" w:cs="Times New Roman"/>
          <w:sz w:val="24"/>
          <w:szCs w:val="24"/>
        </w:rPr>
        <w:t xml:space="preserve">or </w:t>
      </w:r>
      <w:r w:rsidRPr="00B92FCF">
        <w:rPr>
          <w:rFonts w:ascii="Times New Roman" w:eastAsia="Times New Roman" w:hAnsi="Times New Roman" w:cs="Times New Roman"/>
          <w:sz w:val="24"/>
          <w:szCs w:val="24"/>
        </w:rPr>
        <w:t>practices by: developing a pre-approval or risk assessment process for the contracts and conducting underwriting; approving or denying consumers’ applications to enter into the transactions; directing and administering the execution of the contracts; serving as the payment processor for the initial lump</w:t>
      </w:r>
      <w:r w:rsidR="00ED66CE" w:rsidRPr="00B92FCF">
        <w:rPr>
          <w:rFonts w:ascii="Times New Roman" w:eastAsia="Times New Roman" w:hAnsi="Times New Roman" w:cs="Times New Roman"/>
          <w:sz w:val="24"/>
          <w:szCs w:val="24"/>
        </w:rPr>
        <w:t>-</w:t>
      </w:r>
      <w:r w:rsidRPr="00B92FCF">
        <w:rPr>
          <w:rFonts w:ascii="Times New Roman" w:eastAsia="Times New Roman" w:hAnsi="Times New Roman" w:cs="Times New Roman"/>
          <w:sz w:val="24"/>
          <w:szCs w:val="24"/>
        </w:rPr>
        <w:t>sum payment and fees; and continuing to serve as the transactions’ payment processor, tracking and controlling the collection and distribution of consumers’ payments on the contracts.</w:t>
      </w:r>
    </w:p>
    <w:p w14:paraId="34623D8C" w14:textId="77777777" w:rsidR="00F93EE5" w:rsidRPr="00B92FCF" w:rsidRDefault="00F93EE5" w:rsidP="007753CF">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 knowingly or recklessly provided this substantial assistance. Defendants knew or should have known that</w:t>
      </w:r>
      <w:r w:rsidR="00601AC9" w:rsidRPr="00B92FCF">
        <w:rPr>
          <w:rFonts w:ascii="Times New Roman" w:eastAsia="Times New Roman" w:hAnsi="Times New Roman" w:cs="Times New Roman"/>
          <w:sz w:val="24"/>
          <w:szCs w:val="24"/>
        </w:rPr>
        <w:t xml:space="preserve"> consumers </w:t>
      </w:r>
      <w:r w:rsidR="00870886" w:rsidRPr="00B92FCF">
        <w:rPr>
          <w:rFonts w:ascii="Times New Roman" w:eastAsia="Times New Roman" w:hAnsi="Times New Roman" w:cs="Times New Roman"/>
          <w:sz w:val="24"/>
          <w:szCs w:val="24"/>
        </w:rPr>
        <w:t>could not</w:t>
      </w:r>
      <w:r w:rsidR="00601AC9" w:rsidRPr="00B92FCF">
        <w:rPr>
          <w:rFonts w:ascii="Times New Roman" w:eastAsia="Times New Roman" w:hAnsi="Times New Roman" w:cs="Times New Roman"/>
          <w:sz w:val="24"/>
          <w:szCs w:val="24"/>
        </w:rPr>
        <w:t xml:space="preserve"> be criminally prosecuted for breaching their contracts</w:t>
      </w:r>
      <w:r w:rsidRPr="00B92FCF">
        <w:rPr>
          <w:rFonts w:ascii="Times New Roman" w:eastAsia="Times New Roman" w:hAnsi="Times New Roman" w:cs="Times New Roman"/>
          <w:sz w:val="24"/>
          <w:szCs w:val="24"/>
        </w:rPr>
        <w:t xml:space="preserve">. </w:t>
      </w:r>
    </w:p>
    <w:p w14:paraId="285F1ED4" w14:textId="51B790A1" w:rsidR="005F430F" w:rsidRPr="00CE5BB1" w:rsidRDefault="00F32E01" w:rsidP="00CE5BB1">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Therefore, Defendants are deemed to have engaged in deceptive acts </w:t>
      </w:r>
      <w:r w:rsidR="006458B5" w:rsidRPr="00B92FCF">
        <w:rPr>
          <w:rFonts w:ascii="Times New Roman" w:eastAsia="Times New Roman" w:hAnsi="Times New Roman" w:cs="Times New Roman"/>
          <w:sz w:val="24"/>
          <w:szCs w:val="24"/>
        </w:rPr>
        <w:t xml:space="preserve">or </w:t>
      </w:r>
      <w:r w:rsidRPr="00B92FCF">
        <w:rPr>
          <w:rFonts w:ascii="Times New Roman" w:eastAsia="Times New Roman" w:hAnsi="Times New Roman" w:cs="Times New Roman"/>
          <w:sz w:val="24"/>
          <w:szCs w:val="24"/>
        </w:rPr>
        <w:t>practices in violation of the CFPA to the same extent as the Broker Companies. 12 U.S.C. § 5536(A)(3).</w:t>
      </w:r>
    </w:p>
    <w:p w14:paraId="642E76D7" w14:textId="77777777" w:rsidR="004D7302" w:rsidRPr="00B92FCF" w:rsidRDefault="009C732A" w:rsidP="000E2C2C">
      <w:pPr>
        <w:pStyle w:val="ListParagraph"/>
        <w:keepNext/>
        <w:spacing w:after="0" w:line="240" w:lineRule="auto"/>
        <w:ind w:left="0"/>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 xml:space="preserve">Count </w:t>
      </w:r>
      <w:r w:rsidR="004D7302" w:rsidRPr="00B92FCF">
        <w:rPr>
          <w:rFonts w:ascii="Times New Roman" w:eastAsia="Times New Roman" w:hAnsi="Times New Roman" w:cs="Times New Roman"/>
          <w:b/>
          <w:sz w:val="24"/>
          <w:szCs w:val="24"/>
        </w:rPr>
        <w:t>V</w:t>
      </w:r>
    </w:p>
    <w:p w14:paraId="2F663245" w14:textId="058F436D" w:rsidR="009C732A" w:rsidRPr="00B92FCF" w:rsidRDefault="009C732A" w:rsidP="000E2C2C">
      <w:pPr>
        <w:keepNext/>
        <w:spacing w:after="0" w:line="240" w:lineRule="auto"/>
        <w:contextualSpacing/>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Deceptive Acts or Practices, in Violation of the CFPA</w:t>
      </w:r>
      <w:r w:rsidR="00ED66CE" w:rsidRPr="00B92FCF">
        <w:rPr>
          <w:rFonts w:ascii="Times New Roman" w:eastAsia="Times New Roman" w:hAnsi="Times New Roman" w:cs="Times New Roman"/>
          <w:b/>
          <w:sz w:val="24"/>
          <w:szCs w:val="24"/>
        </w:rPr>
        <w:t>,</w:t>
      </w:r>
    </w:p>
    <w:p w14:paraId="7EA355F5" w14:textId="12C70809" w:rsidR="009C732A" w:rsidRPr="00B92FCF" w:rsidRDefault="009C732A" w:rsidP="000E2C2C">
      <w:pPr>
        <w:keepNext/>
        <w:spacing w:after="0" w:line="240" w:lineRule="auto"/>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Asserted by the Bureau</w:t>
      </w:r>
      <w:r w:rsidR="00355951" w:rsidRPr="00B92FCF">
        <w:rPr>
          <w:rFonts w:ascii="Times New Roman" w:eastAsia="Times New Roman" w:hAnsi="Times New Roman" w:cs="Times New Roman"/>
          <w:b/>
          <w:sz w:val="24"/>
          <w:szCs w:val="24"/>
        </w:rPr>
        <w:t xml:space="preserve">, </w:t>
      </w:r>
      <w:r w:rsidR="009832D0">
        <w:rPr>
          <w:rFonts w:ascii="Times New Roman" w:eastAsia="Times New Roman" w:hAnsi="Times New Roman" w:cs="Times New Roman"/>
          <w:b/>
          <w:sz w:val="24"/>
          <w:szCs w:val="24"/>
        </w:rPr>
        <w:t>the Department</w:t>
      </w:r>
      <w:r w:rsidR="00355951" w:rsidRPr="00B92FCF">
        <w:rPr>
          <w:rFonts w:ascii="Times New Roman" w:eastAsia="Times New Roman" w:hAnsi="Times New Roman" w:cs="Times New Roman"/>
          <w:b/>
          <w:sz w:val="24"/>
          <w:szCs w:val="24"/>
        </w:rPr>
        <w:t>, and Arkansas</w:t>
      </w:r>
    </w:p>
    <w:p w14:paraId="5B25907D" w14:textId="77777777" w:rsidR="003F23F5" w:rsidRPr="00B92FCF" w:rsidRDefault="003F23F5" w:rsidP="00D12BB3">
      <w:pPr>
        <w:pStyle w:val="ListParagraph"/>
        <w:keepNext/>
        <w:spacing w:after="0" w:line="240" w:lineRule="auto"/>
        <w:ind w:left="0" w:firstLine="720"/>
        <w:rPr>
          <w:rFonts w:ascii="Times New Roman" w:eastAsia="Times New Roman" w:hAnsi="Times New Roman" w:cs="Times New Roman"/>
          <w:sz w:val="24"/>
          <w:szCs w:val="24"/>
        </w:rPr>
      </w:pPr>
    </w:p>
    <w:p w14:paraId="4B24E83F" w14:textId="77777777" w:rsidR="003F23F5" w:rsidRPr="00B92FCF" w:rsidRDefault="003F23F5" w:rsidP="003F23F5">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 allegations in paragraphs 1 to </w:t>
      </w:r>
      <w:r w:rsidR="00D12BB3" w:rsidRPr="00B92FCF">
        <w:rPr>
          <w:rFonts w:ascii="Times New Roman" w:eastAsia="Times New Roman" w:hAnsi="Times New Roman" w:cs="Times New Roman"/>
          <w:sz w:val="24"/>
          <w:szCs w:val="24"/>
        </w:rPr>
        <w:t>34</w:t>
      </w:r>
      <w:r w:rsidRPr="00B92FCF">
        <w:rPr>
          <w:rFonts w:ascii="Times New Roman" w:eastAsia="Times New Roman" w:hAnsi="Times New Roman" w:cs="Times New Roman"/>
          <w:sz w:val="24"/>
          <w:szCs w:val="24"/>
        </w:rPr>
        <w:t xml:space="preserve"> are incorporated here by reference.</w:t>
      </w:r>
    </w:p>
    <w:p w14:paraId="61EE94BF" w14:textId="77777777" w:rsidR="003F23F5" w:rsidRPr="00B92FCF" w:rsidRDefault="009F32CE" w:rsidP="003F23F5">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Calibri" w:hAnsi="Times New Roman" w:cs="Times New Roman"/>
          <w:sz w:val="24"/>
          <w:szCs w:val="24"/>
        </w:rPr>
        <w:t>Defendants</w:t>
      </w:r>
      <w:r w:rsidR="003F23F5" w:rsidRPr="00B92FCF">
        <w:rPr>
          <w:rFonts w:ascii="Times New Roman" w:eastAsia="Times New Roman" w:hAnsi="Times New Roman" w:cs="Times New Roman"/>
          <w:sz w:val="24"/>
          <w:szCs w:val="24"/>
        </w:rPr>
        <w:t xml:space="preserve"> collect on the contracts brokered by the Broker Companies, including by initiating ACH debts to take payments from consumers’ bank accounts</w:t>
      </w:r>
      <w:r w:rsidR="00194E9B" w:rsidRPr="00B92FCF">
        <w:rPr>
          <w:rFonts w:ascii="Times New Roman" w:eastAsia="Times New Roman" w:hAnsi="Times New Roman" w:cs="Times New Roman"/>
          <w:sz w:val="24"/>
          <w:szCs w:val="24"/>
        </w:rPr>
        <w:t>,</w:t>
      </w:r>
      <w:r w:rsidR="003F23F5" w:rsidRPr="00B92FCF">
        <w:rPr>
          <w:rFonts w:ascii="Times New Roman" w:eastAsia="Times New Roman" w:hAnsi="Times New Roman" w:cs="Times New Roman"/>
          <w:sz w:val="24"/>
          <w:szCs w:val="24"/>
        </w:rPr>
        <w:t xml:space="preserve"> demanding payments from consumers in letters and other communications</w:t>
      </w:r>
      <w:r w:rsidR="00194E9B" w:rsidRPr="00B92FCF">
        <w:rPr>
          <w:rFonts w:ascii="Times New Roman" w:eastAsia="Times New Roman" w:hAnsi="Times New Roman" w:cs="Times New Roman"/>
          <w:sz w:val="24"/>
          <w:szCs w:val="24"/>
        </w:rPr>
        <w:t>, and filing suit when consumers failed to make payments</w:t>
      </w:r>
      <w:r w:rsidR="003F23F5" w:rsidRPr="00B92FCF">
        <w:rPr>
          <w:rFonts w:ascii="Times New Roman" w:eastAsia="Times New Roman" w:hAnsi="Times New Roman" w:cs="Times New Roman"/>
          <w:sz w:val="24"/>
          <w:szCs w:val="24"/>
        </w:rPr>
        <w:t>.</w:t>
      </w:r>
    </w:p>
    <w:p w14:paraId="18CD57C1" w14:textId="7C5B379E" w:rsidR="003F23F5" w:rsidRPr="00B92FCF" w:rsidRDefault="009F32CE" w:rsidP="003F23F5">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 have</w:t>
      </w:r>
      <w:r w:rsidR="003F23F5" w:rsidRPr="00B92FCF">
        <w:rPr>
          <w:rFonts w:ascii="Times New Roman" w:eastAsia="Times New Roman" w:hAnsi="Times New Roman" w:cs="Times New Roman"/>
          <w:sz w:val="24"/>
          <w:szCs w:val="24"/>
        </w:rPr>
        <w:t xml:space="preserve"> represented, expressly or impliedly, that consumers are legally obligated to make payments in accordance with the terms of their contracts. </w:t>
      </w:r>
      <w:r w:rsidR="004761F2" w:rsidRPr="00B92FCF">
        <w:rPr>
          <w:rFonts w:ascii="Times New Roman" w:eastAsia="Times New Roman" w:hAnsi="Times New Roman" w:cs="Times New Roman"/>
          <w:sz w:val="24"/>
          <w:szCs w:val="24"/>
        </w:rPr>
        <w:t>In fact,</w:t>
      </w:r>
      <w:r w:rsidR="003F23F5" w:rsidRPr="00B92FCF">
        <w:rPr>
          <w:rFonts w:ascii="Times New Roman" w:eastAsia="Times New Roman" w:hAnsi="Times New Roman" w:cs="Times New Roman"/>
          <w:sz w:val="24"/>
          <w:szCs w:val="24"/>
        </w:rPr>
        <w:t xml:space="preserve"> the contracts </w:t>
      </w:r>
      <w:r w:rsidR="00C46E34">
        <w:rPr>
          <w:rFonts w:ascii="Times New Roman" w:eastAsia="Times New Roman" w:hAnsi="Times New Roman" w:cs="Times New Roman"/>
          <w:sz w:val="24"/>
          <w:szCs w:val="24"/>
        </w:rPr>
        <w:t>we</w:t>
      </w:r>
      <w:r w:rsidR="003F23F5" w:rsidRPr="00B92FCF">
        <w:rPr>
          <w:rFonts w:ascii="Times New Roman" w:eastAsia="Times New Roman" w:hAnsi="Times New Roman" w:cs="Times New Roman"/>
          <w:sz w:val="24"/>
          <w:szCs w:val="24"/>
        </w:rPr>
        <w:t>re void from inception and consumers are not obligated to make payments.</w:t>
      </w:r>
    </w:p>
    <w:p w14:paraId="18AC3DF7" w14:textId="283114C2" w:rsidR="003F23F5" w:rsidRPr="00B92FCF" w:rsidRDefault="009F32CE" w:rsidP="003F23F5">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w:t>
      </w:r>
      <w:r w:rsidR="003F23F5" w:rsidRPr="00B92FCF">
        <w:rPr>
          <w:rFonts w:ascii="Times New Roman" w:eastAsia="Times New Roman" w:hAnsi="Times New Roman" w:cs="Times New Roman"/>
          <w:sz w:val="24"/>
          <w:szCs w:val="24"/>
        </w:rPr>
        <w:t xml:space="preserve"> misrepresentations and omissions regarding consumers’ legal obligation</w:t>
      </w:r>
      <w:r w:rsidR="00ED66CE" w:rsidRPr="00B92FCF">
        <w:rPr>
          <w:rFonts w:ascii="Times New Roman" w:eastAsia="Times New Roman" w:hAnsi="Times New Roman" w:cs="Times New Roman"/>
          <w:sz w:val="24"/>
          <w:szCs w:val="24"/>
        </w:rPr>
        <w:t>s</w:t>
      </w:r>
      <w:r w:rsidR="003F23F5" w:rsidRPr="00B92FCF">
        <w:rPr>
          <w:rFonts w:ascii="Times New Roman" w:eastAsia="Times New Roman" w:hAnsi="Times New Roman" w:cs="Times New Roman"/>
          <w:sz w:val="24"/>
          <w:szCs w:val="24"/>
        </w:rPr>
        <w:t xml:space="preserve"> to make payments </w:t>
      </w:r>
      <w:r w:rsidR="00C46E34">
        <w:rPr>
          <w:rFonts w:ascii="Times New Roman" w:eastAsia="Times New Roman" w:hAnsi="Times New Roman" w:cs="Times New Roman"/>
          <w:sz w:val="24"/>
          <w:szCs w:val="24"/>
        </w:rPr>
        <w:t>we</w:t>
      </w:r>
      <w:r w:rsidR="003F23F5" w:rsidRPr="00B92FCF">
        <w:rPr>
          <w:rFonts w:ascii="Times New Roman" w:eastAsia="Times New Roman" w:hAnsi="Times New Roman" w:cs="Times New Roman"/>
          <w:sz w:val="24"/>
          <w:szCs w:val="24"/>
        </w:rPr>
        <w:t xml:space="preserve">re likely to mislead consumers acting reasonably under the circumstances. </w:t>
      </w:r>
    </w:p>
    <w:p w14:paraId="22D1DEB6" w14:textId="79449DD5" w:rsidR="003F23F5" w:rsidRPr="00B92FCF" w:rsidRDefault="009F32CE" w:rsidP="003F23F5">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w:t>
      </w:r>
      <w:r w:rsidR="003F23F5" w:rsidRPr="00B92FCF">
        <w:rPr>
          <w:rFonts w:ascii="Times New Roman" w:eastAsia="Times New Roman" w:hAnsi="Times New Roman" w:cs="Times New Roman"/>
          <w:sz w:val="24"/>
          <w:szCs w:val="24"/>
        </w:rPr>
        <w:t xml:space="preserve"> misrepresentations and omissions </w:t>
      </w:r>
      <w:r w:rsidR="00C46E34">
        <w:rPr>
          <w:rFonts w:ascii="Times New Roman" w:eastAsia="Times New Roman" w:hAnsi="Times New Roman" w:cs="Times New Roman"/>
          <w:sz w:val="24"/>
          <w:szCs w:val="24"/>
        </w:rPr>
        <w:t>were</w:t>
      </w:r>
      <w:r w:rsidR="003F23F5" w:rsidRPr="00B92FCF">
        <w:rPr>
          <w:rFonts w:ascii="Times New Roman" w:eastAsia="Times New Roman" w:hAnsi="Times New Roman" w:cs="Times New Roman"/>
          <w:sz w:val="24"/>
          <w:szCs w:val="24"/>
        </w:rPr>
        <w:t xml:space="preserve"> material because they </w:t>
      </w:r>
      <w:r w:rsidR="00C46E34">
        <w:rPr>
          <w:rFonts w:ascii="Times New Roman" w:eastAsia="Times New Roman" w:hAnsi="Times New Roman" w:cs="Times New Roman"/>
          <w:sz w:val="24"/>
          <w:szCs w:val="24"/>
        </w:rPr>
        <w:t>we</w:t>
      </w:r>
      <w:r w:rsidR="003F23F5" w:rsidRPr="00B92FCF">
        <w:rPr>
          <w:rFonts w:ascii="Times New Roman" w:eastAsia="Times New Roman" w:hAnsi="Times New Roman" w:cs="Times New Roman"/>
          <w:sz w:val="24"/>
          <w:szCs w:val="24"/>
        </w:rPr>
        <w:t xml:space="preserve">re likely to influence the decisions of consumers acting reasonably under the circumstances, including by leading consumers to make payments that they were not legally obligated to make.  </w:t>
      </w:r>
    </w:p>
    <w:p w14:paraId="6859A583" w14:textId="77777777" w:rsidR="00351A97" w:rsidRPr="00B92FCF" w:rsidRDefault="003F23F5" w:rsidP="00351A97">
      <w:pPr>
        <w:numPr>
          <w:ilvl w:val="0"/>
          <w:numId w:val="1"/>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Calibri" w:hAnsi="Times New Roman" w:cs="Times New Roman"/>
          <w:sz w:val="24"/>
          <w:szCs w:val="24"/>
        </w:rPr>
        <w:t xml:space="preserve">Therefore, </w:t>
      </w:r>
      <w:r w:rsidR="009F32CE" w:rsidRPr="00B92FCF">
        <w:rPr>
          <w:rFonts w:ascii="Times New Roman" w:eastAsia="MS PMincho" w:hAnsi="Times New Roman" w:cs="Times New Roman"/>
          <w:sz w:val="24"/>
          <w:szCs w:val="24"/>
        </w:rPr>
        <w:t>Defendants</w:t>
      </w:r>
      <w:r w:rsidRPr="00B92FCF">
        <w:rPr>
          <w:rFonts w:ascii="Times New Roman" w:eastAsia="MS PMincho" w:hAnsi="Times New Roman" w:cs="Times New Roman"/>
          <w:sz w:val="24"/>
          <w:szCs w:val="24"/>
        </w:rPr>
        <w:t xml:space="preserve"> engaged in deceptive acts </w:t>
      </w:r>
      <w:r w:rsidR="004761F2" w:rsidRPr="00B92FCF">
        <w:rPr>
          <w:rFonts w:ascii="Times New Roman" w:eastAsia="MS PMincho" w:hAnsi="Times New Roman" w:cs="Times New Roman"/>
          <w:sz w:val="24"/>
          <w:szCs w:val="24"/>
        </w:rPr>
        <w:t xml:space="preserve">or </w:t>
      </w:r>
      <w:r w:rsidRPr="00B92FCF">
        <w:rPr>
          <w:rFonts w:ascii="Times New Roman" w:eastAsia="MS PMincho" w:hAnsi="Times New Roman" w:cs="Times New Roman"/>
          <w:sz w:val="24"/>
          <w:szCs w:val="24"/>
        </w:rPr>
        <w:t xml:space="preserve">practices in violation of the CFPA. </w:t>
      </w:r>
      <w:r w:rsidRPr="00B92FCF">
        <w:rPr>
          <w:rFonts w:ascii="Times New Roman" w:eastAsia="Times New Roman" w:hAnsi="Times New Roman" w:cs="Times New Roman"/>
          <w:sz w:val="24"/>
          <w:szCs w:val="24"/>
        </w:rPr>
        <w:t>12 U.S.C.</w:t>
      </w:r>
      <w:r w:rsidRPr="00B92FCF">
        <w:rPr>
          <w:rFonts w:ascii="Times New Roman" w:hAnsi="Times New Roman" w:cs="Times New Roman"/>
          <w:sz w:val="24"/>
          <w:szCs w:val="24"/>
        </w:rPr>
        <w:t xml:space="preserve"> </w:t>
      </w:r>
      <w:r w:rsidRPr="00B92FCF">
        <w:rPr>
          <w:rFonts w:ascii="Times New Roman" w:eastAsia="Times New Roman" w:hAnsi="Times New Roman" w:cs="Times New Roman"/>
          <w:sz w:val="24"/>
          <w:szCs w:val="24"/>
        </w:rPr>
        <w:t>§§ 5531(a), 5536(a)(1)(B).</w:t>
      </w:r>
    </w:p>
    <w:p w14:paraId="6A22CC92" w14:textId="77777777" w:rsidR="00C226D5" w:rsidRPr="00B92FCF" w:rsidRDefault="00C226D5" w:rsidP="00B92FCF">
      <w:pPr>
        <w:spacing w:after="0" w:line="240" w:lineRule="auto"/>
        <w:rPr>
          <w:rFonts w:ascii="Times New Roman" w:eastAsia="Times New Roman" w:hAnsi="Times New Roman" w:cs="Times New Roman"/>
          <w:b/>
          <w:sz w:val="24"/>
          <w:szCs w:val="24"/>
        </w:rPr>
      </w:pPr>
    </w:p>
    <w:p w14:paraId="0128C096" w14:textId="77777777" w:rsidR="00BB6010" w:rsidRPr="00B92FCF" w:rsidRDefault="00BB6010" w:rsidP="00E85221">
      <w:pPr>
        <w:spacing w:after="0" w:line="240" w:lineRule="auto"/>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Count V</w:t>
      </w:r>
      <w:r w:rsidR="00636B21" w:rsidRPr="00B92FCF">
        <w:rPr>
          <w:rFonts w:ascii="Times New Roman" w:eastAsia="Times New Roman" w:hAnsi="Times New Roman" w:cs="Times New Roman"/>
          <w:b/>
          <w:sz w:val="24"/>
          <w:szCs w:val="24"/>
        </w:rPr>
        <w:t>I</w:t>
      </w:r>
    </w:p>
    <w:p w14:paraId="6B5837F1" w14:textId="6E7AAACF" w:rsidR="00BB6010" w:rsidRPr="00B92FCF" w:rsidRDefault="00BB6010" w:rsidP="00E85221">
      <w:pPr>
        <w:spacing w:after="0" w:line="240" w:lineRule="auto"/>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Unconscionable Debt Collection, in Violation of the SCCPC</w:t>
      </w:r>
      <w:r w:rsidR="005F556B" w:rsidRPr="00B92FCF">
        <w:rPr>
          <w:rFonts w:ascii="Times New Roman" w:eastAsia="Times New Roman" w:hAnsi="Times New Roman" w:cs="Times New Roman"/>
          <w:b/>
          <w:sz w:val="24"/>
          <w:szCs w:val="24"/>
        </w:rPr>
        <w:t>,</w:t>
      </w:r>
    </w:p>
    <w:p w14:paraId="326705D6" w14:textId="11E9B5BC" w:rsidR="00EE4B18" w:rsidRPr="00B92FCF" w:rsidRDefault="00CA22E7" w:rsidP="00E85221">
      <w:pPr>
        <w:pStyle w:val="ListParagraph"/>
        <w:spacing w:after="0" w:line="240" w:lineRule="auto"/>
        <w:ind w:left="0"/>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 xml:space="preserve">Asserted by </w:t>
      </w:r>
      <w:r w:rsidR="009832D0">
        <w:rPr>
          <w:rFonts w:ascii="Times New Roman" w:eastAsia="Times New Roman" w:hAnsi="Times New Roman" w:cs="Times New Roman"/>
          <w:b/>
          <w:sz w:val="24"/>
          <w:szCs w:val="24"/>
        </w:rPr>
        <w:t>the Department</w:t>
      </w:r>
    </w:p>
    <w:p w14:paraId="3557A68E" w14:textId="77777777" w:rsidR="00B0536D" w:rsidRPr="00B92FCF" w:rsidRDefault="00B0536D" w:rsidP="00E85221">
      <w:pPr>
        <w:pStyle w:val="ListParagraph"/>
        <w:spacing w:after="0" w:line="240" w:lineRule="auto"/>
        <w:ind w:left="0"/>
        <w:jc w:val="center"/>
        <w:rPr>
          <w:rFonts w:ascii="Times New Roman" w:eastAsia="Times New Roman" w:hAnsi="Times New Roman" w:cs="Times New Roman"/>
          <w:b/>
          <w:sz w:val="24"/>
          <w:szCs w:val="24"/>
        </w:rPr>
      </w:pPr>
    </w:p>
    <w:p w14:paraId="7E9D57D2" w14:textId="77777777" w:rsidR="00CA0D9B" w:rsidRPr="00B92FCF" w:rsidRDefault="008E1349"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The allegations in paragraph 1 to </w:t>
      </w:r>
      <w:r w:rsidR="000749AD" w:rsidRPr="00B92FCF">
        <w:rPr>
          <w:rFonts w:ascii="Times New Roman" w:eastAsia="Times New Roman" w:hAnsi="Times New Roman" w:cs="Times New Roman"/>
          <w:sz w:val="24"/>
          <w:szCs w:val="24"/>
        </w:rPr>
        <w:t>3</w:t>
      </w:r>
      <w:r w:rsidR="00D12BB3" w:rsidRPr="00B92FCF">
        <w:rPr>
          <w:rFonts w:ascii="Times New Roman" w:eastAsia="Times New Roman" w:hAnsi="Times New Roman" w:cs="Times New Roman"/>
          <w:sz w:val="24"/>
          <w:szCs w:val="24"/>
        </w:rPr>
        <w:t>6</w:t>
      </w:r>
      <w:r w:rsidRPr="00B92FCF">
        <w:rPr>
          <w:rFonts w:ascii="Times New Roman" w:eastAsia="Times New Roman" w:hAnsi="Times New Roman" w:cs="Times New Roman"/>
          <w:sz w:val="24"/>
          <w:szCs w:val="24"/>
        </w:rPr>
        <w:t xml:space="preserve"> are incorporated here by reference.</w:t>
      </w:r>
    </w:p>
    <w:p w14:paraId="753F0301" w14:textId="77777777" w:rsidR="00CA0D9B" w:rsidRPr="00B92FCF" w:rsidRDefault="008E60BA"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 engaged in unconscionable conduct in attempting to collect a debt as defined in S.C. Code Ann. § 37-5-108.</w:t>
      </w:r>
    </w:p>
    <w:p w14:paraId="0D6336FA" w14:textId="77777777" w:rsidR="0036084B" w:rsidRPr="00B92FCF" w:rsidRDefault="0036084B"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Defendants made fraudulent, deceptive, or misleading representations in connection with the collection of consumer debt</w:t>
      </w:r>
      <w:r w:rsidR="00F25833" w:rsidRPr="00B92FCF">
        <w:rPr>
          <w:rFonts w:ascii="Times New Roman" w:eastAsia="Times New Roman" w:hAnsi="Times New Roman" w:cs="Times New Roman"/>
          <w:sz w:val="24"/>
          <w:szCs w:val="24"/>
        </w:rPr>
        <w:t xml:space="preserve">. </w:t>
      </w:r>
      <w:r w:rsidRPr="00B92FCF">
        <w:rPr>
          <w:rFonts w:ascii="Times New Roman" w:eastAsia="Times New Roman" w:hAnsi="Times New Roman" w:cs="Times New Roman"/>
          <w:sz w:val="24"/>
          <w:szCs w:val="24"/>
        </w:rPr>
        <w:t xml:space="preserve">S.C. Code Ann. § 37-5-108(5)(c). </w:t>
      </w:r>
    </w:p>
    <w:p w14:paraId="3240C0CE" w14:textId="77777777" w:rsidR="0036084B" w:rsidRPr="00B92FCF" w:rsidRDefault="0036084B"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Defendants filed actions for breach of contract and specific performance when they knew or should have known the contracts for </w:t>
      </w:r>
      <w:r w:rsidR="004E38E9" w:rsidRPr="00B92FCF">
        <w:rPr>
          <w:rFonts w:ascii="Times New Roman" w:eastAsia="Times New Roman" w:hAnsi="Times New Roman" w:cs="Times New Roman"/>
          <w:sz w:val="24"/>
          <w:szCs w:val="24"/>
        </w:rPr>
        <w:t>sales of unpaid earnings and assignments of pensions as security on payment of a debt are prohibited under South Carolina law. Defendants repeatedly misrepresented the contracts as valid and enforceable.</w:t>
      </w:r>
    </w:p>
    <w:p w14:paraId="79316A36" w14:textId="77777777" w:rsidR="00CA2767" w:rsidRPr="00B92FCF" w:rsidRDefault="0036084B" w:rsidP="007753C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Therefore, Defendants engaged in unconscionable debt collection in violation of the SCCPC.</w:t>
      </w:r>
      <w:r w:rsidR="008C37B0" w:rsidRPr="00B92FCF">
        <w:rPr>
          <w:rFonts w:ascii="Times New Roman" w:eastAsia="Times New Roman" w:hAnsi="Times New Roman" w:cs="Times New Roman"/>
          <w:sz w:val="24"/>
          <w:szCs w:val="24"/>
        </w:rPr>
        <w:t xml:space="preserve"> </w:t>
      </w:r>
      <w:r w:rsidR="00C179C8" w:rsidRPr="00B92FCF">
        <w:rPr>
          <w:rFonts w:ascii="Times New Roman" w:eastAsia="Times New Roman" w:hAnsi="Times New Roman" w:cs="Times New Roman"/>
          <w:sz w:val="24"/>
          <w:szCs w:val="24"/>
        </w:rPr>
        <w:t xml:space="preserve">   </w:t>
      </w:r>
    </w:p>
    <w:p w14:paraId="77C48F7A" w14:textId="77777777" w:rsidR="00383EF1" w:rsidRPr="00B92FCF" w:rsidRDefault="00383EF1" w:rsidP="00B92FCF">
      <w:pPr>
        <w:keepNext/>
        <w:spacing w:after="0" w:line="240" w:lineRule="auto"/>
        <w:jc w:val="center"/>
        <w:rPr>
          <w:rFonts w:ascii="Times New Roman" w:eastAsia="Times New Roman" w:hAnsi="Times New Roman" w:cs="Times New Roman"/>
          <w:b/>
          <w:sz w:val="24"/>
          <w:szCs w:val="24"/>
        </w:rPr>
      </w:pPr>
    </w:p>
    <w:p w14:paraId="4AC130E2" w14:textId="77777777" w:rsidR="00362C9F" w:rsidRPr="00B92FCF" w:rsidRDefault="00246568" w:rsidP="00E85221">
      <w:pPr>
        <w:keepNext/>
        <w:spacing w:after="0" w:line="480" w:lineRule="auto"/>
        <w:jc w:val="center"/>
        <w:rPr>
          <w:rFonts w:ascii="Times New Roman" w:eastAsia="Times New Roman" w:hAnsi="Times New Roman" w:cs="Times New Roman"/>
          <w:b/>
          <w:sz w:val="24"/>
          <w:szCs w:val="24"/>
        </w:rPr>
      </w:pPr>
      <w:r w:rsidRPr="00B92FCF">
        <w:rPr>
          <w:rFonts w:ascii="Times New Roman" w:eastAsia="Times New Roman" w:hAnsi="Times New Roman" w:cs="Times New Roman"/>
          <w:b/>
          <w:sz w:val="24"/>
          <w:szCs w:val="24"/>
        </w:rPr>
        <w:t>Demand</w:t>
      </w:r>
      <w:r w:rsidR="00362C9F" w:rsidRPr="00B92FCF">
        <w:rPr>
          <w:rFonts w:ascii="Times New Roman" w:eastAsia="Times New Roman" w:hAnsi="Times New Roman" w:cs="Times New Roman"/>
          <w:b/>
          <w:sz w:val="24"/>
          <w:szCs w:val="24"/>
        </w:rPr>
        <w:t xml:space="preserve"> for Relief</w:t>
      </w:r>
    </w:p>
    <w:p w14:paraId="707D27CA" w14:textId="6DBF23A9" w:rsidR="00362C9F" w:rsidRPr="00B92FCF" w:rsidRDefault="00355951" w:rsidP="007753CF">
      <w:pPr>
        <w:spacing w:after="0" w:line="480" w:lineRule="auto"/>
        <w:ind w:firstLine="720"/>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Wherefore, the Bureau,</w:t>
      </w:r>
      <w:r w:rsidR="00CA22E7" w:rsidRPr="00B92FCF">
        <w:rPr>
          <w:rFonts w:ascii="Times New Roman" w:eastAsia="Times New Roman" w:hAnsi="Times New Roman" w:cs="Times New Roman"/>
          <w:sz w:val="24"/>
          <w:szCs w:val="24"/>
        </w:rPr>
        <w:t xml:space="preserve"> </w:t>
      </w:r>
      <w:r w:rsidR="009832D0">
        <w:rPr>
          <w:rFonts w:ascii="Times New Roman" w:eastAsia="Times New Roman" w:hAnsi="Times New Roman" w:cs="Times New Roman"/>
          <w:sz w:val="24"/>
          <w:szCs w:val="24"/>
        </w:rPr>
        <w:t>the Department</w:t>
      </w:r>
      <w:r w:rsidRPr="00B92FCF">
        <w:rPr>
          <w:rFonts w:ascii="Times New Roman" w:eastAsia="Times New Roman" w:hAnsi="Times New Roman" w:cs="Times New Roman"/>
          <w:sz w:val="24"/>
          <w:szCs w:val="24"/>
        </w:rPr>
        <w:t>, and Arkansas</w:t>
      </w:r>
      <w:r w:rsidR="00F0127E" w:rsidRPr="00B92FCF">
        <w:rPr>
          <w:rFonts w:ascii="Times New Roman" w:eastAsia="Times New Roman" w:hAnsi="Times New Roman" w:cs="Times New Roman"/>
          <w:sz w:val="24"/>
          <w:szCs w:val="24"/>
        </w:rPr>
        <w:t xml:space="preserve"> request</w:t>
      </w:r>
      <w:r w:rsidR="00362C9F" w:rsidRPr="00B92FCF">
        <w:rPr>
          <w:rFonts w:ascii="Times New Roman" w:eastAsia="Times New Roman" w:hAnsi="Times New Roman" w:cs="Times New Roman"/>
          <w:sz w:val="24"/>
          <w:szCs w:val="24"/>
        </w:rPr>
        <w:t xml:space="preserve"> that the Court:</w:t>
      </w:r>
    </w:p>
    <w:p w14:paraId="0C6C5A7C" w14:textId="77777777" w:rsidR="004C5CC7" w:rsidRPr="00B92FCF" w:rsidRDefault="00362C9F" w:rsidP="007753CF">
      <w:pPr>
        <w:numPr>
          <w:ilvl w:val="0"/>
          <w:numId w:val="2"/>
        </w:numPr>
        <w:tabs>
          <w:tab w:val="left" w:pos="720"/>
        </w:tabs>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permanently enjoin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 xml:space="preserve"> from committing future violations of the CFPA, </w:t>
      </w:r>
      <w:r w:rsidR="000B2DCB" w:rsidRPr="00B92FCF">
        <w:rPr>
          <w:rFonts w:ascii="Times New Roman" w:eastAsia="Times New Roman" w:hAnsi="Times New Roman" w:cs="Times New Roman"/>
          <w:sz w:val="24"/>
          <w:szCs w:val="24"/>
        </w:rPr>
        <w:t xml:space="preserve">12 U.S.C. §§ 5531, 5536(a), </w:t>
      </w:r>
      <w:r w:rsidRPr="00B92FCF">
        <w:rPr>
          <w:rFonts w:ascii="Times New Roman" w:eastAsia="Times New Roman" w:hAnsi="Times New Roman" w:cs="Times New Roman"/>
          <w:sz w:val="24"/>
          <w:szCs w:val="24"/>
        </w:rPr>
        <w:t>or any provision of “Federal consumer financial law,” as defined by 12 U.S.C. § 5481(14);</w:t>
      </w:r>
    </w:p>
    <w:p w14:paraId="33D80251" w14:textId="77777777" w:rsidR="00852ABB" w:rsidRPr="00B92FCF" w:rsidRDefault="000749AD" w:rsidP="007753CF">
      <w:pPr>
        <w:numPr>
          <w:ilvl w:val="0"/>
          <w:numId w:val="2"/>
        </w:numPr>
        <w:tabs>
          <w:tab w:val="left" w:pos="720"/>
        </w:tabs>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permanently enjoin Defendants from</w:t>
      </w:r>
      <w:r w:rsidR="00FE5C98" w:rsidRPr="00B92FCF">
        <w:rPr>
          <w:rFonts w:ascii="Times New Roman" w:eastAsia="MS PMincho" w:hAnsi="Times New Roman" w:cs="Times New Roman"/>
          <w:sz w:val="24"/>
          <w:szCs w:val="24"/>
        </w:rPr>
        <w:t xml:space="preserve"> </w:t>
      </w:r>
      <w:r w:rsidR="00FE5C98" w:rsidRPr="00B92FCF">
        <w:rPr>
          <w:rFonts w:ascii="Times New Roman" w:eastAsia="Times New Roman" w:hAnsi="Times New Roman" w:cs="Times New Roman"/>
          <w:sz w:val="24"/>
          <w:szCs w:val="24"/>
        </w:rPr>
        <w:t xml:space="preserve">brokering, offering, or arranging </w:t>
      </w:r>
      <w:r w:rsidR="002D0B74" w:rsidRPr="00B92FCF">
        <w:rPr>
          <w:rFonts w:ascii="Times New Roman" w:eastAsia="Times New Roman" w:hAnsi="Times New Roman" w:cs="Times New Roman"/>
          <w:sz w:val="24"/>
          <w:szCs w:val="24"/>
        </w:rPr>
        <w:t xml:space="preserve">purported </w:t>
      </w:r>
      <w:r w:rsidR="00FE5C98" w:rsidRPr="00B92FCF">
        <w:rPr>
          <w:rFonts w:ascii="Times New Roman" w:eastAsia="Times New Roman" w:hAnsi="Times New Roman" w:cs="Times New Roman"/>
          <w:sz w:val="24"/>
          <w:szCs w:val="24"/>
        </w:rPr>
        <w:t>sales or assignments of pensions</w:t>
      </w:r>
      <w:r w:rsidR="00095436" w:rsidRPr="00B92FCF">
        <w:rPr>
          <w:rFonts w:ascii="Times New Roman" w:eastAsia="Times New Roman" w:hAnsi="Times New Roman" w:cs="Times New Roman"/>
          <w:sz w:val="24"/>
          <w:szCs w:val="24"/>
        </w:rPr>
        <w:t xml:space="preserve"> or disability benefits</w:t>
      </w:r>
      <w:r w:rsidR="007D219E" w:rsidRPr="00B92FCF">
        <w:rPr>
          <w:rFonts w:ascii="Times New Roman" w:eastAsia="Times New Roman" w:hAnsi="Times New Roman" w:cs="Times New Roman"/>
          <w:sz w:val="24"/>
          <w:szCs w:val="24"/>
        </w:rPr>
        <w:t>;</w:t>
      </w:r>
    </w:p>
    <w:p w14:paraId="00DDAAE8" w14:textId="77777777" w:rsidR="00BF598B" w:rsidRPr="00B92FCF" w:rsidRDefault="00852ABB" w:rsidP="00852ABB">
      <w:pPr>
        <w:numPr>
          <w:ilvl w:val="0"/>
          <w:numId w:val="2"/>
        </w:numPr>
        <w:tabs>
          <w:tab w:val="left" w:pos="720"/>
        </w:tabs>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permanently enjoin Defendants from </w:t>
      </w:r>
      <w:r w:rsidR="00BF598B" w:rsidRPr="00B92FCF">
        <w:rPr>
          <w:rFonts w:ascii="Times New Roman" w:eastAsia="Times New Roman" w:hAnsi="Times New Roman" w:cs="Times New Roman"/>
          <w:sz w:val="24"/>
          <w:szCs w:val="24"/>
        </w:rPr>
        <w:t>attempting to enforce any contract</w:t>
      </w:r>
      <w:r w:rsidRPr="00B92FCF">
        <w:rPr>
          <w:rFonts w:ascii="Times New Roman" w:eastAsia="Times New Roman" w:hAnsi="Times New Roman" w:cs="Times New Roman"/>
          <w:sz w:val="24"/>
          <w:szCs w:val="24"/>
        </w:rPr>
        <w:t xml:space="preserve"> purporting to sell or assign a consumer’s pension</w:t>
      </w:r>
      <w:r w:rsidR="00095436" w:rsidRPr="00B92FCF">
        <w:rPr>
          <w:rFonts w:ascii="Times New Roman" w:eastAsia="Times New Roman" w:hAnsi="Times New Roman" w:cs="Times New Roman"/>
          <w:sz w:val="24"/>
          <w:szCs w:val="24"/>
        </w:rPr>
        <w:t xml:space="preserve"> or disability benefits</w:t>
      </w:r>
      <w:r w:rsidR="00BF598B" w:rsidRPr="00B92FCF">
        <w:rPr>
          <w:rFonts w:ascii="Times New Roman" w:eastAsia="Times New Roman" w:hAnsi="Times New Roman" w:cs="Times New Roman"/>
          <w:sz w:val="24"/>
          <w:szCs w:val="24"/>
        </w:rPr>
        <w:t>;</w:t>
      </w:r>
    </w:p>
    <w:p w14:paraId="52F232B7" w14:textId="77777777" w:rsidR="00520F4F" w:rsidRPr="00B92FCF" w:rsidRDefault="00BF598B" w:rsidP="00852ABB">
      <w:pPr>
        <w:numPr>
          <w:ilvl w:val="0"/>
          <w:numId w:val="2"/>
        </w:numPr>
        <w:tabs>
          <w:tab w:val="left" w:pos="720"/>
        </w:tabs>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permanently enjoin Defendants from all collection </w:t>
      </w:r>
      <w:r w:rsidR="006F0883" w:rsidRPr="00B92FCF">
        <w:rPr>
          <w:rFonts w:ascii="Times New Roman" w:eastAsia="Times New Roman" w:hAnsi="Times New Roman" w:cs="Times New Roman"/>
          <w:sz w:val="24"/>
          <w:szCs w:val="24"/>
        </w:rPr>
        <w:t>activity</w:t>
      </w:r>
      <w:r w:rsidRPr="00B92FCF">
        <w:rPr>
          <w:rFonts w:ascii="Times New Roman" w:eastAsia="Times New Roman" w:hAnsi="Times New Roman" w:cs="Times New Roman"/>
          <w:sz w:val="24"/>
          <w:szCs w:val="24"/>
        </w:rPr>
        <w:t xml:space="preserve"> against any consumer </w:t>
      </w:r>
      <w:r w:rsidR="00F8075F" w:rsidRPr="00B92FCF">
        <w:rPr>
          <w:rFonts w:ascii="Times New Roman" w:eastAsia="Times New Roman" w:hAnsi="Times New Roman" w:cs="Times New Roman"/>
          <w:sz w:val="24"/>
          <w:szCs w:val="24"/>
        </w:rPr>
        <w:t xml:space="preserve">for any </w:t>
      </w:r>
      <w:r w:rsidRPr="00B92FCF">
        <w:rPr>
          <w:rFonts w:ascii="Times New Roman" w:eastAsia="Times New Roman" w:hAnsi="Times New Roman" w:cs="Times New Roman"/>
          <w:sz w:val="24"/>
          <w:szCs w:val="24"/>
        </w:rPr>
        <w:t>contract purporting to sell or assign the consumer’s pension</w:t>
      </w:r>
      <w:r w:rsidR="00095436" w:rsidRPr="00B92FCF">
        <w:rPr>
          <w:rFonts w:ascii="Times New Roman" w:eastAsia="Times New Roman" w:hAnsi="Times New Roman" w:cs="Times New Roman"/>
          <w:sz w:val="24"/>
          <w:szCs w:val="24"/>
        </w:rPr>
        <w:t xml:space="preserve"> or disability benefits</w:t>
      </w:r>
      <w:r w:rsidR="00520F4F" w:rsidRPr="00B92FCF">
        <w:rPr>
          <w:rFonts w:ascii="Times New Roman" w:eastAsia="Times New Roman" w:hAnsi="Times New Roman" w:cs="Times New Roman"/>
          <w:sz w:val="24"/>
          <w:szCs w:val="24"/>
        </w:rPr>
        <w:t>;</w:t>
      </w:r>
      <w:r w:rsidR="00852ABB" w:rsidRPr="00B92FCF">
        <w:rPr>
          <w:rFonts w:ascii="Times New Roman" w:eastAsia="Times New Roman" w:hAnsi="Times New Roman" w:cs="Times New Roman"/>
          <w:sz w:val="24"/>
          <w:szCs w:val="24"/>
        </w:rPr>
        <w:t xml:space="preserve"> </w:t>
      </w:r>
    </w:p>
    <w:p w14:paraId="3090654F" w14:textId="77777777" w:rsidR="00EB3A11" w:rsidRPr="00B92FCF" w:rsidRDefault="00B24925" w:rsidP="00383EF1">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permanently enjoin Defendants from committing future violations of the SCCPC;</w:t>
      </w:r>
    </w:p>
    <w:p w14:paraId="2E8B49F0" w14:textId="77777777" w:rsidR="00B14EA3" w:rsidRPr="00B92FCF" w:rsidRDefault="00B14EA3" w:rsidP="00B14EA3">
      <w:pPr>
        <w:numPr>
          <w:ilvl w:val="0"/>
          <w:numId w:val="2"/>
        </w:numPr>
        <w:tabs>
          <w:tab w:val="left" w:pos="720"/>
        </w:tabs>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permanently enjoin Defendants from assisting others engaging in any conduct</w:t>
      </w:r>
      <w:r w:rsidR="00BF598B" w:rsidRPr="00B92FCF">
        <w:rPr>
          <w:rFonts w:ascii="Times New Roman" w:eastAsia="Times New Roman" w:hAnsi="Times New Roman" w:cs="Times New Roman"/>
          <w:sz w:val="24"/>
          <w:szCs w:val="24"/>
        </w:rPr>
        <w:t xml:space="preserve"> proscribed by the Court</w:t>
      </w:r>
      <w:r w:rsidRPr="00B92FCF">
        <w:rPr>
          <w:rFonts w:ascii="Times New Roman" w:eastAsia="Times New Roman" w:hAnsi="Times New Roman" w:cs="Times New Roman"/>
          <w:sz w:val="24"/>
          <w:szCs w:val="24"/>
        </w:rPr>
        <w:t xml:space="preserve">;  </w:t>
      </w:r>
    </w:p>
    <w:p w14:paraId="30A0458B" w14:textId="77777777" w:rsidR="00B24925" w:rsidRPr="00B92FCF" w:rsidRDefault="00301857"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bookmarkStart w:id="5" w:name="_Hlk26111169"/>
      <w:r w:rsidRPr="00B92FCF">
        <w:rPr>
          <w:rFonts w:ascii="Times New Roman" w:eastAsia="Times New Roman" w:hAnsi="Times New Roman" w:cs="Times New Roman"/>
          <w:sz w:val="24"/>
          <w:szCs w:val="24"/>
        </w:rPr>
        <w:t>declare</w:t>
      </w:r>
      <w:r w:rsidR="002668DB" w:rsidRPr="00B92FCF">
        <w:rPr>
          <w:rFonts w:ascii="Times New Roman" w:eastAsia="Times New Roman" w:hAnsi="Times New Roman" w:cs="Times New Roman"/>
          <w:sz w:val="24"/>
          <w:szCs w:val="24"/>
        </w:rPr>
        <w:t xml:space="preserve"> the contracts void ab initio and unenforceable</w:t>
      </w:r>
      <w:bookmarkEnd w:id="5"/>
      <w:r w:rsidR="002668DB" w:rsidRPr="00B92FCF">
        <w:rPr>
          <w:rFonts w:ascii="Times New Roman" w:eastAsia="Times New Roman" w:hAnsi="Times New Roman" w:cs="Times New Roman"/>
          <w:sz w:val="24"/>
          <w:szCs w:val="24"/>
        </w:rPr>
        <w:t>;</w:t>
      </w:r>
    </w:p>
    <w:p w14:paraId="0F98B8AB" w14:textId="77777777"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grant additional injunctive relief as the Court may deem just and proper;</w:t>
      </w:r>
    </w:p>
    <w:p w14:paraId="70F1436C" w14:textId="77777777"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award </w:t>
      </w:r>
      <w:r w:rsidR="009A41EC" w:rsidRPr="00B92FCF">
        <w:rPr>
          <w:rFonts w:ascii="Times New Roman" w:eastAsia="Times New Roman" w:hAnsi="Times New Roman" w:cs="Times New Roman"/>
          <w:sz w:val="24"/>
          <w:szCs w:val="24"/>
        </w:rPr>
        <w:t xml:space="preserve">restitution, </w:t>
      </w:r>
      <w:r w:rsidRPr="00B92FCF">
        <w:rPr>
          <w:rFonts w:ascii="Times New Roman" w:eastAsia="Times New Roman" w:hAnsi="Times New Roman" w:cs="Times New Roman"/>
          <w:sz w:val="24"/>
          <w:szCs w:val="24"/>
        </w:rPr>
        <w:t>damages</w:t>
      </w:r>
      <w:r w:rsidR="00646126" w:rsidRPr="00B92FCF">
        <w:rPr>
          <w:rFonts w:ascii="Times New Roman" w:eastAsia="Times New Roman" w:hAnsi="Times New Roman" w:cs="Times New Roman"/>
          <w:sz w:val="24"/>
          <w:szCs w:val="24"/>
        </w:rPr>
        <w:t>,</w:t>
      </w:r>
      <w:r w:rsidRPr="00B92FCF">
        <w:rPr>
          <w:rFonts w:ascii="Times New Roman" w:eastAsia="Times New Roman" w:hAnsi="Times New Roman" w:cs="Times New Roman"/>
          <w:sz w:val="24"/>
          <w:szCs w:val="24"/>
        </w:rPr>
        <w:t xml:space="preserve"> or other monetary relief against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w:t>
      </w:r>
    </w:p>
    <w:p w14:paraId="72B47520" w14:textId="77777777"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order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 xml:space="preserve"> to pay redress to </w:t>
      </w:r>
      <w:r w:rsidR="00A41896" w:rsidRPr="00B92FCF">
        <w:rPr>
          <w:rFonts w:ascii="Times New Roman" w:eastAsia="Times New Roman" w:hAnsi="Times New Roman" w:cs="Times New Roman"/>
          <w:sz w:val="24"/>
          <w:szCs w:val="24"/>
        </w:rPr>
        <w:t xml:space="preserve">harmed </w:t>
      </w:r>
      <w:r w:rsidRPr="00B92FCF">
        <w:rPr>
          <w:rFonts w:ascii="Times New Roman" w:eastAsia="Times New Roman" w:hAnsi="Times New Roman" w:cs="Times New Roman"/>
          <w:sz w:val="24"/>
          <w:szCs w:val="24"/>
        </w:rPr>
        <w:t xml:space="preserve">consumers; </w:t>
      </w:r>
    </w:p>
    <w:p w14:paraId="0FFE463D" w14:textId="77777777"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order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 xml:space="preserve"> to disgorge all ill-gotten gains; </w:t>
      </w:r>
    </w:p>
    <w:p w14:paraId="28D93E25" w14:textId="0F4108AB"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impose on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 xml:space="preserve"> civil money penalt</w:t>
      </w:r>
      <w:r w:rsidR="000F3241">
        <w:rPr>
          <w:rFonts w:ascii="Times New Roman" w:eastAsia="Times New Roman" w:hAnsi="Times New Roman" w:cs="Times New Roman"/>
          <w:sz w:val="24"/>
          <w:szCs w:val="24"/>
        </w:rPr>
        <w:t>ies</w:t>
      </w:r>
      <w:r w:rsidRPr="00B92FCF">
        <w:rPr>
          <w:rFonts w:ascii="Times New Roman" w:eastAsia="Times New Roman" w:hAnsi="Times New Roman" w:cs="Times New Roman"/>
          <w:sz w:val="24"/>
          <w:szCs w:val="24"/>
        </w:rPr>
        <w:t>;</w:t>
      </w:r>
    </w:p>
    <w:p w14:paraId="3131DCD2" w14:textId="03867165" w:rsidR="00362C9F" w:rsidRPr="00B92FCF" w:rsidRDefault="00362C9F" w:rsidP="007753CF">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 xml:space="preserve">order </w:t>
      </w:r>
      <w:r w:rsidR="006D7E72" w:rsidRPr="00B92FCF">
        <w:rPr>
          <w:rFonts w:ascii="Times New Roman" w:eastAsia="Times New Roman" w:hAnsi="Times New Roman" w:cs="Times New Roman"/>
          <w:sz w:val="24"/>
          <w:szCs w:val="24"/>
        </w:rPr>
        <w:t>Defendants</w:t>
      </w:r>
      <w:r w:rsidRPr="00B92FCF">
        <w:rPr>
          <w:rFonts w:ascii="Times New Roman" w:eastAsia="Times New Roman" w:hAnsi="Times New Roman" w:cs="Times New Roman"/>
          <w:sz w:val="24"/>
          <w:szCs w:val="24"/>
        </w:rPr>
        <w:t xml:space="preserve"> to pay the Bureau’s</w:t>
      </w:r>
      <w:r w:rsidR="00E85221" w:rsidRPr="00B92FCF">
        <w:rPr>
          <w:rFonts w:ascii="Times New Roman" w:eastAsia="Times New Roman" w:hAnsi="Times New Roman" w:cs="Times New Roman"/>
          <w:sz w:val="24"/>
          <w:szCs w:val="24"/>
        </w:rPr>
        <w:t xml:space="preserve">, </w:t>
      </w:r>
      <w:r w:rsidR="009832D0">
        <w:rPr>
          <w:rFonts w:ascii="Times New Roman" w:eastAsia="Times New Roman" w:hAnsi="Times New Roman" w:cs="Times New Roman"/>
          <w:sz w:val="24"/>
          <w:szCs w:val="24"/>
        </w:rPr>
        <w:t>the Department’s</w:t>
      </w:r>
      <w:r w:rsidR="00E85221" w:rsidRPr="00B92FCF">
        <w:rPr>
          <w:rFonts w:ascii="Times New Roman" w:eastAsia="Times New Roman" w:hAnsi="Times New Roman" w:cs="Times New Roman"/>
          <w:sz w:val="24"/>
          <w:szCs w:val="24"/>
        </w:rPr>
        <w:t>, and Arkansas’</w:t>
      </w:r>
      <w:r w:rsidR="00111379" w:rsidRPr="00B92FCF">
        <w:rPr>
          <w:rFonts w:ascii="Times New Roman" w:eastAsia="Times New Roman" w:hAnsi="Times New Roman" w:cs="Times New Roman"/>
          <w:sz w:val="24"/>
          <w:szCs w:val="24"/>
        </w:rPr>
        <w:t>s</w:t>
      </w:r>
      <w:r w:rsidRPr="00B92FCF">
        <w:rPr>
          <w:rFonts w:ascii="Times New Roman" w:eastAsia="Times New Roman" w:hAnsi="Times New Roman" w:cs="Times New Roman"/>
          <w:sz w:val="24"/>
          <w:szCs w:val="24"/>
        </w:rPr>
        <w:t xml:space="preserve"> costs incurred in connection with prosecuting this action; and</w:t>
      </w:r>
    </w:p>
    <w:p w14:paraId="60F133C9" w14:textId="77777777" w:rsidR="00B26B02" w:rsidRPr="00B92FCF" w:rsidRDefault="00362C9F" w:rsidP="00B26B02">
      <w:pPr>
        <w:numPr>
          <w:ilvl w:val="0"/>
          <w:numId w:val="2"/>
        </w:numPr>
        <w:spacing w:after="0" w:line="480" w:lineRule="auto"/>
        <w:ind w:left="0" w:firstLine="720"/>
        <w:contextualSpacing/>
        <w:rPr>
          <w:rFonts w:ascii="Times New Roman" w:eastAsia="Times New Roman" w:hAnsi="Times New Roman" w:cs="Times New Roman"/>
          <w:sz w:val="24"/>
          <w:szCs w:val="24"/>
        </w:rPr>
      </w:pPr>
      <w:r w:rsidRPr="00B92FCF">
        <w:rPr>
          <w:rFonts w:ascii="Times New Roman" w:eastAsia="Times New Roman" w:hAnsi="Times New Roman" w:cs="Times New Roman"/>
          <w:sz w:val="24"/>
          <w:szCs w:val="24"/>
        </w:rPr>
        <w:t>award additional relief as the Court may determine to be just and proper.</w:t>
      </w:r>
    </w:p>
    <w:p w14:paraId="2252C446" w14:textId="362536A0" w:rsidR="00797567" w:rsidRDefault="00797567" w:rsidP="00B26B02">
      <w:pPr>
        <w:spacing w:after="0" w:line="480" w:lineRule="auto"/>
        <w:ind w:left="720"/>
        <w:contextualSpacing/>
        <w:rPr>
          <w:rFonts w:ascii="Times New Roman" w:eastAsia="Calibri" w:hAnsi="Times New Roman" w:cs="Times New Roman"/>
          <w:sz w:val="24"/>
          <w:szCs w:val="24"/>
        </w:rPr>
      </w:pPr>
    </w:p>
    <w:p w14:paraId="4CAD6261" w14:textId="32A3FD4E" w:rsidR="00CE5BB1" w:rsidRDefault="00CE5BB1" w:rsidP="00B26B02">
      <w:pPr>
        <w:spacing w:after="0" w:line="480" w:lineRule="auto"/>
        <w:ind w:left="720"/>
        <w:contextualSpacing/>
        <w:rPr>
          <w:rFonts w:ascii="Times New Roman" w:eastAsia="Calibri" w:hAnsi="Times New Roman" w:cs="Times New Roman"/>
          <w:sz w:val="24"/>
          <w:szCs w:val="24"/>
        </w:rPr>
      </w:pPr>
    </w:p>
    <w:p w14:paraId="5839598C" w14:textId="2B2D4340" w:rsidR="00CE5BB1" w:rsidRDefault="00CE5BB1" w:rsidP="00B26B02">
      <w:pPr>
        <w:spacing w:after="0" w:line="480" w:lineRule="auto"/>
        <w:ind w:left="720"/>
        <w:contextualSpacing/>
        <w:rPr>
          <w:rFonts w:ascii="Times New Roman" w:eastAsia="Calibri" w:hAnsi="Times New Roman" w:cs="Times New Roman"/>
          <w:sz w:val="24"/>
          <w:szCs w:val="24"/>
        </w:rPr>
      </w:pPr>
    </w:p>
    <w:p w14:paraId="0279BD9A" w14:textId="136B7E23" w:rsidR="00CE5BB1" w:rsidRDefault="00CE5BB1" w:rsidP="00B26B02">
      <w:pPr>
        <w:spacing w:after="0" w:line="480" w:lineRule="auto"/>
        <w:ind w:left="720"/>
        <w:contextualSpacing/>
        <w:rPr>
          <w:rFonts w:ascii="Times New Roman" w:eastAsia="Calibri" w:hAnsi="Times New Roman" w:cs="Times New Roman"/>
          <w:sz w:val="24"/>
          <w:szCs w:val="24"/>
        </w:rPr>
      </w:pPr>
    </w:p>
    <w:p w14:paraId="1DD2B93F" w14:textId="381956AA" w:rsidR="00CE5BB1" w:rsidRDefault="00CE5BB1" w:rsidP="00B26B02">
      <w:pPr>
        <w:spacing w:after="0" w:line="480" w:lineRule="auto"/>
        <w:ind w:left="720"/>
        <w:contextualSpacing/>
        <w:rPr>
          <w:rFonts w:ascii="Times New Roman" w:eastAsia="Calibri" w:hAnsi="Times New Roman" w:cs="Times New Roman"/>
          <w:sz w:val="24"/>
          <w:szCs w:val="24"/>
        </w:rPr>
      </w:pPr>
    </w:p>
    <w:p w14:paraId="3F1E9B1D" w14:textId="14317BD5" w:rsidR="00CE5BB1" w:rsidRDefault="00CE5BB1" w:rsidP="00B26B02">
      <w:pPr>
        <w:spacing w:after="0" w:line="480" w:lineRule="auto"/>
        <w:ind w:left="720"/>
        <w:contextualSpacing/>
        <w:rPr>
          <w:rFonts w:ascii="Times New Roman" w:eastAsia="Calibri" w:hAnsi="Times New Roman" w:cs="Times New Roman"/>
          <w:sz w:val="24"/>
          <w:szCs w:val="24"/>
        </w:rPr>
      </w:pPr>
    </w:p>
    <w:p w14:paraId="49685B1E" w14:textId="437C6557" w:rsidR="00CE5BB1" w:rsidRDefault="00CE5BB1" w:rsidP="00B26B02">
      <w:pPr>
        <w:spacing w:after="0" w:line="480" w:lineRule="auto"/>
        <w:ind w:left="720"/>
        <w:contextualSpacing/>
        <w:rPr>
          <w:rFonts w:ascii="Times New Roman" w:eastAsia="Calibri" w:hAnsi="Times New Roman" w:cs="Times New Roman"/>
          <w:sz w:val="24"/>
          <w:szCs w:val="24"/>
        </w:rPr>
      </w:pPr>
    </w:p>
    <w:p w14:paraId="16489379" w14:textId="794E4CC4" w:rsidR="00CE5BB1" w:rsidRDefault="00CE5BB1" w:rsidP="00B26B02">
      <w:pPr>
        <w:spacing w:after="0" w:line="480" w:lineRule="auto"/>
        <w:ind w:left="720"/>
        <w:contextualSpacing/>
        <w:rPr>
          <w:rFonts w:ascii="Times New Roman" w:eastAsia="Calibri" w:hAnsi="Times New Roman" w:cs="Times New Roman"/>
          <w:sz w:val="24"/>
          <w:szCs w:val="24"/>
        </w:rPr>
      </w:pPr>
    </w:p>
    <w:p w14:paraId="4BE3E3CD" w14:textId="00A71F32" w:rsidR="00CE5BB1" w:rsidRDefault="00CE5BB1" w:rsidP="00B26B02">
      <w:pPr>
        <w:spacing w:after="0" w:line="480" w:lineRule="auto"/>
        <w:ind w:left="720"/>
        <w:contextualSpacing/>
        <w:rPr>
          <w:rFonts w:ascii="Times New Roman" w:eastAsia="Calibri" w:hAnsi="Times New Roman" w:cs="Times New Roman"/>
          <w:sz w:val="24"/>
          <w:szCs w:val="24"/>
        </w:rPr>
      </w:pPr>
    </w:p>
    <w:p w14:paraId="26646DF9" w14:textId="75DBB4C2" w:rsidR="00CE5BB1" w:rsidRDefault="00CE5BB1" w:rsidP="00B26B02">
      <w:pPr>
        <w:spacing w:after="0" w:line="480" w:lineRule="auto"/>
        <w:ind w:left="720"/>
        <w:contextualSpacing/>
        <w:rPr>
          <w:rFonts w:ascii="Times New Roman" w:eastAsia="Calibri" w:hAnsi="Times New Roman" w:cs="Times New Roman"/>
          <w:sz w:val="24"/>
          <w:szCs w:val="24"/>
        </w:rPr>
      </w:pPr>
    </w:p>
    <w:p w14:paraId="08B270E0" w14:textId="40A0FCF1" w:rsidR="00CE5BB1" w:rsidRDefault="00CE5BB1" w:rsidP="00B26B02">
      <w:pPr>
        <w:spacing w:after="0" w:line="480" w:lineRule="auto"/>
        <w:ind w:left="720"/>
        <w:contextualSpacing/>
        <w:rPr>
          <w:rFonts w:ascii="Times New Roman" w:eastAsia="Calibri" w:hAnsi="Times New Roman" w:cs="Times New Roman"/>
          <w:sz w:val="24"/>
          <w:szCs w:val="24"/>
        </w:rPr>
      </w:pPr>
    </w:p>
    <w:p w14:paraId="7F62B5C8" w14:textId="77777777" w:rsidR="00CE5BB1" w:rsidRDefault="00CE5BB1" w:rsidP="00CE5BB1">
      <w:pPr>
        <w:spacing w:after="0" w:line="480" w:lineRule="auto"/>
        <w:contextualSpacing/>
        <w:rPr>
          <w:rFonts w:ascii="Times New Roman" w:eastAsia="Calibri" w:hAnsi="Times New Roman" w:cs="Times New Roman"/>
          <w:sz w:val="24"/>
          <w:szCs w:val="24"/>
        </w:rPr>
      </w:pPr>
    </w:p>
    <w:p w14:paraId="447C29D5" w14:textId="6A5DA665" w:rsidR="00CE5BB1" w:rsidRDefault="00CE5BB1" w:rsidP="00B26B02">
      <w:pPr>
        <w:spacing w:after="0" w:line="480" w:lineRule="auto"/>
        <w:ind w:left="720"/>
        <w:contextualSpacing/>
        <w:rPr>
          <w:rFonts w:ascii="Times New Roman" w:eastAsia="Calibri" w:hAnsi="Times New Roman" w:cs="Times New Roman"/>
          <w:sz w:val="24"/>
          <w:szCs w:val="24"/>
        </w:rPr>
      </w:pPr>
    </w:p>
    <w:p w14:paraId="25C55E9D" w14:textId="1FCB726C" w:rsidR="00CE5BB1" w:rsidRDefault="00CE5BB1" w:rsidP="00B26B02">
      <w:pPr>
        <w:spacing w:after="0" w:line="480" w:lineRule="auto"/>
        <w:ind w:left="720"/>
        <w:contextualSpacing/>
        <w:rPr>
          <w:rFonts w:ascii="Times New Roman" w:eastAsia="Calibri" w:hAnsi="Times New Roman" w:cs="Times New Roman"/>
          <w:sz w:val="24"/>
          <w:szCs w:val="24"/>
        </w:rPr>
      </w:pPr>
    </w:p>
    <w:p w14:paraId="1CC4569F" w14:textId="321124EE" w:rsidR="00CE5BB1" w:rsidRDefault="00CE5BB1" w:rsidP="00CE5BB1">
      <w:pPr>
        <w:spacing w:after="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CE5BB1">
        <w:rPr>
          <w:rFonts w:ascii="Times New Roman" w:eastAsia="Calibri" w:hAnsi="Times New Roman" w:cs="Times New Roman"/>
          <w:i/>
          <w:sz w:val="24"/>
          <w:szCs w:val="24"/>
        </w:rPr>
        <w:t>signature block on following page</w:t>
      </w:r>
      <w:r>
        <w:rPr>
          <w:rFonts w:ascii="Times New Roman" w:eastAsia="Calibri" w:hAnsi="Times New Roman" w:cs="Times New Roman"/>
          <w:sz w:val="24"/>
          <w:szCs w:val="24"/>
        </w:rPr>
        <w:t>)</w:t>
      </w:r>
    </w:p>
    <w:p w14:paraId="4BBAA7A6" w14:textId="77777777" w:rsidR="00CE5BB1" w:rsidRDefault="00CE5BB1" w:rsidP="00797567">
      <w:pPr>
        <w:spacing w:after="0" w:line="480" w:lineRule="auto"/>
        <w:ind w:left="5040"/>
        <w:contextualSpacing/>
        <w:rPr>
          <w:rFonts w:ascii="Times New Roman" w:eastAsia="Calibri" w:hAnsi="Times New Roman" w:cs="Times New Roman"/>
          <w:sz w:val="24"/>
          <w:szCs w:val="24"/>
        </w:rPr>
      </w:pPr>
    </w:p>
    <w:p w14:paraId="205C9B82" w14:textId="091B27F1" w:rsidR="00362C9F" w:rsidRDefault="00515C95" w:rsidP="00797567">
      <w:pPr>
        <w:spacing w:after="0" w:line="480" w:lineRule="auto"/>
        <w:ind w:left="50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C9F" w:rsidRPr="00B92FCF">
        <w:rPr>
          <w:rFonts w:ascii="Times New Roman" w:eastAsia="Calibri" w:hAnsi="Times New Roman" w:cs="Times New Roman"/>
          <w:sz w:val="24"/>
          <w:szCs w:val="24"/>
        </w:rPr>
        <w:t>Respectfully submitted,</w:t>
      </w:r>
    </w:p>
    <w:p w14:paraId="6D82EAE1" w14:textId="77777777" w:rsidR="00CE5BB1" w:rsidRDefault="00CE5BB1" w:rsidP="00797567">
      <w:pPr>
        <w:spacing w:after="0" w:line="480" w:lineRule="auto"/>
        <w:ind w:left="5040"/>
        <w:contextualSpacing/>
        <w:rPr>
          <w:rFonts w:ascii="Times New Roman" w:eastAsia="Calibri" w:hAnsi="Times New Roman" w:cs="Times New Roman"/>
          <w:sz w:val="24"/>
          <w:szCs w:val="24"/>
        </w:rPr>
      </w:pPr>
    </w:p>
    <w:p w14:paraId="31B318AE" w14:textId="77777777" w:rsidR="00797567" w:rsidRPr="00B92FCF" w:rsidRDefault="00797567" w:rsidP="00797567">
      <w:pPr>
        <w:spacing w:after="0" w:line="480" w:lineRule="auto"/>
        <w:ind w:left="5040"/>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
        <w:gridCol w:w="4135"/>
      </w:tblGrid>
      <w:tr w:rsidR="00146F50" w14:paraId="63D6A9DC" w14:textId="77777777" w:rsidTr="008C08D2">
        <w:trPr>
          <w:trHeight w:val="3585"/>
        </w:trPr>
        <w:tc>
          <w:tcPr>
            <w:tcW w:w="4675" w:type="dxa"/>
            <w:vMerge w:val="restart"/>
          </w:tcPr>
          <w:p w14:paraId="02CF7601" w14:textId="77777777" w:rsidR="00146F50" w:rsidRPr="00BA7822" w:rsidRDefault="00146F50" w:rsidP="008C08D2">
            <w:pPr>
              <w:rPr>
                <w:rFonts w:ascii="Times New Roman" w:eastAsia="Calibri" w:hAnsi="Times New Roman" w:cs="Times New Roman"/>
                <w:sz w:val="24"/>
                <w:szCs w:val="24"/>
              </w:rPr>
            </w:pPr>
            <w:r>
              <w:rPr>
                <w:rFonts w:ascii="Times New Roman" w:eastAsia="Calibri" w:hAnsi="Times New Roman" w:cs="Times New Roman"/>
                <w:sz w:val="24"/>
                <w:szCs w:val="24"/>
              </w:rPr>
              <w:t>Thomas G. Ward</w:t>
            </w:r>
            <w:r w:rsidRPr="00BA7822">
              <w:rPr>
                <w:rFonts w:ascii="Times New Roman" w:eastAsia="Calibri" w:hAnsi="Times New Roman" w:cs="Times New Roman"/>
                <w:sz w:val="24"/>
                <w:szCs w:val="24"/>
              </w:rPr>
              <w:tab/>
            </w:r>
            <w:r w:rsidRPr="00BA7822">
              <w:rPr>
                <w:rFonts w:ascii="Times New Roman" w:eastAsia="Calibri" w:hAnsi="Times New Roman" w:cs="Times New Roman"/>
                <w:sz w:val="24"/>
                <w:szCs w:val="24"/>
              </w:rPr>
              <w:tab/>
            </w:r>
            <w:r w:rsidRPr="00BA7822">
              <w:rPr>
                <w:rFonts w:ascii="Times New Roman" w:eastAsia="Calibri" w:hAnsi="Times New Roman" w:cs="Times New Roman"/>
                <w:sz w:val="24"/>
                <w:szCs w:val="24"/>
              </w:rPr>
              <w:tab/>
            </w:r>
          </w:p>
          <w:p w14:paraId="6BEEB105"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i/>
                <w:sz w:val="24"/>
                <w:szCs w:val="24"/>
              </w:rPr>
              <w:t>Enforcement Director</w:t>
            </w:r>
            <w:r w:rsidRPr="00BA7822">
              <w:rPr>
                <w:rFonts w:ascii="Times New Roman" w:eastAsia="Calibri" w:hAnsi="Times New Roman" w:cs="Times New Roman"/>
                <w:i/>
                <w:sz w:val="24"/>
                <w:szCs w:val="24"/>
              </w:rPr>
              <w:tab/>
            </w:r>
          </w:p>
          <w:p w14:paraId="62FDC0A5" w14:textId="77777777" w:rsidR="00146F50" w:rsidRPr="00BA7822" w:rsidRDefault="00146F50" w:rsidP="008C08D2">
            <w:pPr>
              <w:rPr>
                <w:rFonts w:ascii="Times New Roman" w:eastAsia="Calibri" w:hAnsi="Times New Roman" w:cs="Times New Roman"/>
                <w:sz w:val="24"/>
                <w:szCs w:val="24"/>
              </w:rPr>
            </w:pPr>
            <w:r>
              <w:rPr>
                <w:rFonts w:ascii="Times New Roman" w:eastAsia="Calibri" w:hAnsi="Times New Roman" w:cs="Times New Roman"/>
                <w:sz w:val="24"/>
                <w:szCs w:val="24"/>
              </w:rPr>
              <w:t>Jeffrey Paul Ehrlich</w:t>
            </w:r>
            <w:r w:rsidRPr="00BA7822">
              <w:rPr>
                <w:rFonts w:ascii="Times New Roman" w:eastAsia="Calibri" w:hAnsi="Times New Roman" w:cs="Times New Roman"/>
                <w:sz w:val="24"/>
                <w:szCs w:val="24"/>
              </w:rPr>
              <w:tab/>
              <w:t xml:space="preserve"> </w:t>
            </w:r>
          </w:p>
          <w:p w14:paraId="3BD45415" w14:textId="77777777" w:rsidR="00146F50" w:rsidRPr="00BA7822" w:rsidRDefault="00146F50" w:rsidP="008C08D2">
            <w:pPr>
              <w:rPr>
                <w:rFonts w:ascii="Times New Roman" w:eastAsia="Calibri" w:hAnsi="Times New Roman" w:cs="Times New Roman"/>
                <w:i/>
                <w:sz w:val="24"/>
                <w:szCs w:val="24"/>
              </w:rPr>
            </w:pPr>
            <w:r w:rsidRPr="00BA7822">
              <w:rPr>
                <w:rFonts w:ascii="Times New Roman" w:eastAsia="Calibri" w:hAnsi="Times New Roman" w:cs="Times New Roman"/>
                <w:i/>
                <w:sz w:val="24"/>
                <w:szCs w:val="24"/>
              </w:rPr>
              <w:t xml:space="preserve">Deputy Enforcement Director </w:t>
            </w:r>
          </w:p>
          <w:p w14:paraId="5BAA70CF"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 xml:space="preserve">Kara K. Miller </w:t>
            </w:r>
          </w:p>
          <w:p w14:paraId="34B6A478" w14:textId="77777777" w:rsidR="00146F50" w:rsidRPr="00BA7822" w:rsidRDefault="00146F50" w:rsidP="008C08D2">
            <w:pPr>
              <w:rPr>
                <w:rFonts w:ascii="Times New Roman" w:eastAsia="Calibri" w:hAnsi="Times New Roman" w:cs="Times New Roman"/>
                <w:i/>
                <w:sz w:val="24"/>
                <w:szCs w:val="24"/>
              </w:rPr>
            </w:pPr>
            <w:r w:rsidRPr="00BA7822">
              <w:rPr>
                <w:rFonts w:ascii="Times New Roman" w:eastAsia="Calibri" w:hAnsi="Times New Roman" w:cs="Times New Roman"/>
                <w:i/>
                <w:sz w:val="24"/>
                <w:szCs w:val="24"/>
              </w:rPr>
              <w:t>Assistant Litigation Deputy</w:t>
            </w:r>
          </w:p>
          <w:p w14:paraId="09FD70CA" w14:textId="77777777" w:rsidR="00146F50" w:rsidRPr="00BA7822" w:rsidRDefault="00146F50" w:rsidP="008C08D2">
            <w:pPr>
              <w:rPr>
                <w:rFonts w:ascii="Times New Roman" w:eastAsia="Calibri" w:hAnsi="Times New Roman" w:cs="Times New Roman"/>
                <w:sz w:val="24"/>
                <w:szCs w:val="24"/>
                <w:u w:val="single"/>
              </w:rPr>
            </w:pPr>
            <w:r w:rsidRPr="00BA7822">
              <w:rPr>
                <w:rFonts w:ascii="Times New Roman" w:eastAsia="Calibri" w:hAnsi="Times New Roman" w:cs="Times New Roman"/>
                <w:sz w:val="24"/>
                <w:szCs w:val="24"/>
                <w:u w:val="single"/>
              </w:rPr>
              <w:t>s/ David Hendricks</w:t>
            </w:r>
            <w:r w:rsidRPr="00BA7822">
              <w:rPr>
                <w:rFonts w:ascii="Times New Roman" w:eastAsia="Calibri" w:hAnsi="Times New Roman" w:cs="Times New Roman"/>
                <w:sz w:val="24"/>
                <w:szCs w:val="24"/>
                <w:u w:val="single"/>
              </w:rPr>
              <w:tab/>
              <w:t xml:space="preserve">   </w:t>
            </w:r>
            <w:r w:rsidRPr="00BA7822">
              <w:rPr>
                <w:rFonts w:ascii="Times New Roman" w:eastAsia="Calibri" w:hAnsi="Times New Roman" w:cs="Times New Roman"/>
                <w:sz w:val="24"/>
                <w:szCs w:val="24"/>
                <w:u w:val="single"/>
              </w:rPr>
              <w:tab/>
            </w:r>
            <w:r w:rsidRPr="00BA7822">
              <w:rPr>
                <w:rFonts w:ascii="Times New Roman" w:eastAsia="Calibri" w:hAnsi="Times New Roman" w:cs="Times New Roman"/>
                <w:sz w:val="24"/>
                <w:szCs w:val="24"/>
                <w:u w:val="single"/>
              </w:rPr>
              <w:tab/>
            </w:r>
          </w:p>
          <w:p w14:paraId="5ADCB765"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David Hendricks (Fed. ID # 10547)</w:t>
            </w:r>
          </w:p>
          <w:p w14:paraId="60747881"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Benjamin Konop (OH Bar # 0073458)</w:t>
            </w:r>
          </w:p>
          <w:p w14:paraId="6F3FCC65"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Telephone: (202) 435-7265</w:t>
            </w:r>
          </w:p>
          <w:p w14:paraId="7D912F3B"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 xml:space="preserve">E-mail: </w:t>
            </w:r>
            <w:hyperlink r:id="rId11" w:history="1">
              <w:r w:rsidRPr="00BA7822">
                <w:rPr>
                  <w:rStyle w:val="Hyperlink"/>
                  <w:rFonts w:ascii="Times New Roman" w:eastAsia="Calibri" w:hAnsi="Times New Roman" w:cs="Times New Roman"/>
                  <w:color w:val="000000" w:themeColor="text1"/>
                  <w:sz w:val="24"/>
                  <w:szCs w:val="24"/>
                  <w:u w:val="none"/>
                </w:rPr>
                <w:t>benjamin.konop@cfpb.gov</w:t>
              </w:r>
            </w:hyperlink>
          </w:p>
          <w:p w14:paraId="45CDE40B"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Lane Powell (MI Bar # P79432)</w:t>
            </w:r>
          </w:p>
          <w:p w14:paraId="06B24C59"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Telephone: (415) 844-9784</w:t>
            </w:r>
          </w:p>
          <w:p w14:paraId="0127975A"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 xml:space="preserve">E-mail: </w:t>
            </w:r>
            <w:r w:rsidRPr="00BA7822">
              <w:rPr>
                <w:rFonts w:ascii="Times New Roman" w:eastAsia="Calibri" w:hAnsi="Times New Roman" w:cs="Times New Roman"/>
                <w:color w:val="000000" w:themeColor="text1"/>
                <w:sz w:val="24"/>
                <w:szCs w:val="24"/>
              </w:rPr>
              <w:t>lane.powell@cfpb.gov</w:t>
            </w:r>
          </w:p>
          <w:p w14:paraId="66E600D4" w14:textId="77777777" w:rsidR="00146F50" w:rsidRPr="00BA7822" w:rsidRDefault="00146F50" w:rsidP="008C08D2">
            <w:pPr>
              <w:rPr>
                <w:rStyle w:val="Hyperlink"/>
                <w:rFonts w:ascii="Times New Roman" w:eastAsia="Calibri" w:hAnsi="Times New Roman" w:cs="Times New Roman"/>
                <w:color w:val="auto"/>
                <w:sz w:val="24"/>
                <w:szCs w:val="24"/>
                <w:u w:val="none"/>
              </w:rPr>
            </w:pPr>
            <w:r w:rsidRPr="00BA7822">
              <w:rPr>
                <w:rStyle w:val="Hyperlink"/>
                <w:rFonts w:ascii="Times New Roman" w:eastAsia="Calibri" w:hAnsi="Times New Roman" w:cs="Times New Roman"/>
                <w:color w:val="auto"/>
                <w:sz w:val="24"/>
                <w:szCs w:val="24"/>
                <w:u w:val="none"/>
              </w:rPr>
              <w:t>Bureau of Consumer Financial Protection</w:t>
            </w:r>
          </w:p>
          <w:p w14:paraId="20BABA82"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1700 G Street, NW</w:t>
            </w:r>
          </w:p>
          <w:p w14:paraId="3691C4F9"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Washington, DC 20552</w:t>
            </w:r>
          </w:p>
          <w:p w14:paraId="113E63B2"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Facsimile: (202) 435-7329</w:t>
            </w:r>
          </w:p>
          <w:p w14:paraId="218351F9" w14:textId="77777777" w:rsidR="00146F50" w:rsidRPr="00BA7822" w:rsidRDefault="00146F50" w:rsidP="008C08D2">
            <w:pPr>
              <w:rPr>
                <w:rFonts w:ascii="Times New Roman" w:eastAsia="Calibri" w:hAnsi="Times New Roman" w:cs="Times New Roman"/>
                <w:i/>
                <w:sz w:val="24"/>
                <w:szCs w:val="24"/>
              </w:rPr>
            </w:pPr>
            <w:r w:rsidRPr="00BA7822">
              <w:rPr>
                <w:rFonts w:ascii="Times New Roman" w:eastAsia="Calibri" w:hAnsi="Times New Roman" w:cs="Times New Roman"/>
                <w:i/>
                <w:sz w:val="24"/>
                <w:szCs w:val="24"/>
              </w:rPr>
              <w:t>Attorneys for Plaintiff Bureau of Consumer</w:t>
            </w:r>
          </w:p>
          <w:p w14:paraId="45EC7AAC"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i/>
                <w:sz w:val="24"/>
                <w:szCs w:val="24"/>
              </w:rPr>
              <w:t>Financial Protection</w:t>
            </w:r>
          </w:p>
          <w:p w14:paraId="1C2B01B0" w14:textId="77777777" w:rsidR="00146F50" w:rsidRDefault="00146F50" w:rsidP="008C08D2">
            <w:pPr>
              <w:spacing w:line="480" w:lineRule="auto"/>
              <w:contextualSpacing/>
              <w:rPr>
                <w:rFonts w:ascii="Times New Roman" w:eastAsia="Times New Roman" w:hAnsi="Times New Roman" w:cs="Times New Roman"/>
                <w:sz w:val="24"/>
                <w:szCs w:val="24"/>
              </w:rPr>
            </w:pPr>
          </w:p>
        </w:tc>
        <w:tc>
          <w:tcPr>
            <w:tcW w:w="540" w:type="dxa"/>
            <w:vMerge w:val="restart"/>
          </w:tcPr>
          <w:p w14:paraId="38EC7150" w14:textId="77777777" w:rsidR="00146F50" w:rsidRDefault="00146F50" w:rsidP="008C08D2">
            <w:pPr>
              <w:spacing w:line="480" w:lineRule="auto"/>
              <w:contextualSpacing/>
              <w:rPr>
                <w:rFonts w:ascii="Times New Roman" w:eastAsia="Times New Roman" w:hAnsi="Times New Roman" w:cs="Times New Roman"/>
                <w:sz w:val="24"/>
                <w:szCs w:val="24"/>
              </w:rPr>
            </w:pPr>
          </w:p>
        </w:tc>
        <w:tc>
          <w:tcPr>
            <w:tcW w:w="4135" w:type="dxa"/>
          </w:tcPr>
          <w:p w14:paraId="61C3E2A0" w14:textId="77777777" w:rsidR="00146F50" w:rsidRPr="00BA7822" w:rsidRDefault="00146F50" w:rsidP="008C08D2">
            <w:pPr>
              <w:rPr>
                <w:rFonts w:ascii="Times New Roman" w:eastAsia="Calibri" w:hAnsi="Times New Roman" w:cs="Times New Roman"/>
                <w:sz w:val="24"/>
                <w:szCs w:val="24"/>
                <w:u w:val="single"/>
              </w:rPr>
            </w:pPr>
            <w:r w:rsidRPr="00BA7822">
              <w:rPr>
                <w:rFonts w:ascii="Times New Roman" w:eastAsia="Calibri" w:hAnsi="Times New Roman" w:cs="Times New Roman"/>
                <w:sz w:val="24"/>
                <w:szCs w:val="24"/>
                <w:u w:val="single"/>
              </w:rPr>
              <w:t xml:space="preserve">s/ Kelly H. Rainsford </w:t>
            </w:r>
            <w:r w:rsidRPr="00BA7822">
              <w:rPr>
                <w:rFonts w:ascii="Times New Roman" w:eastAsia="Calibri" w:hAnsi="Times New Roman" w:cs="Times New Roman"/>
                <w:sz w:val="24"/>
                <w:szCs w:val="24"/>
                <w:u w:val="single"/>
              </w:rPr>
              <w:tab/>
            </w:r>
            <w:r w:rsidRPr="00BA7822">
              <w:rPr>
                <w:rFonts w:ascii="Times New Roman" w:eastAsia="Calibri" w:hAnsi="Times New Roman" w:cs="Times New Roman"/>
                <w:sz w:val="24"/>
                <w:szCs w:val="24"/>
                <w:u w:val="single"/>
              </w:rPr>
              <w:tab/>
            </w:r>
            <w:r w:rsidRPr="00BA7822">
              <w:rPr>
                <w:rFonts w:ascii="Times New Roman" w:eastAsia="Calibri" w:hAnsi="Times New Roman" w:cs="Times New Roman"/>
                <w:sz w:val="24"/>
                <w:szCs w:val="24"/>
                <w:u w:val="single"/>
              </w:rPr>
              <w:tab/>
              <w:t xml:space="preserve"> </w:t>
            </w:r>
          </w:p>
          <w:p w14:paraId="32DA08CA"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Kelly H. Rainsford (Fed. ID #10209)</w:t>
            </w:r>
          </w:p>
          <w:p w14:paraId="7190001A"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Telephone: (803) 734-4236</w:t>
            </w:r>
          </w:p>
          <w:p w14:paraId="3C60D3AA"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 xml:space="preserve">E-mail: </w:t>
            </w:r>
            <w:hyperlink r:id="rId12" w:history="1">
              <w:r w:rsidRPr="00BA7822">
                <w:rPr>
                  <w:rStyle w:val="Hyperlink"/>
                  <w:rFonts w:ascii="Times New Roman" w:eastAsia="Calibri" w:hAnsi="Times New Roman" w:cs="Times New Roman"/>
                  <w:color w:val="000000" w:themeColor="text1"/>
                  <w:sz w:val="24"/>
                  <w:szCs w:val="24"/>
                  <w:u w:val="none"/>
                </w:rPr>
                <w:t>KRainsford@scconsumer.gov</w:t>
              </w:r>
            </w:hyperlink>
          </w:p>
          <w:p w14:paraId="69A50216"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James C. Copeland (Fed. ID #12318)</w:t>
            </w:r>
          </w:p>
          <w:p w14:paraId="7A4E0451"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Telephone: (803) 734-0375</w:t>
            </w:r>
          </w:p>
          <w:p w14:paraId="1E08A112"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E-mail: JCopeland@scconsumer.gov</w:t>
            </w:r>
          </w:p>
          <w:p w14:paraId="4C17FCF1" w14:textId="77777777" w:rsidR="00146F50" w:rsidRPr="00BA7822" w:rsidRDefault="00146F50" w:rsidP="008C08D2">
            <w:pPr>
              <w:rPr>
                <w:rStyle w:val="Hyperlink"/>
                <w:rFonts w:ascii="Times New Roman" w:eastAsia="Calibri" w:hAnsi="Times New Roman" w:cs="Times New Roman"/>
                <w:color w:val="auto"/>
                <w:sz w:val="24"/>
                <w:szCs w:val="24"/>
                <w:u w:val="none"/>
              </w:rPr>
            </w:pPr>
            <w:r w:rsidRPr="00BA7822">
              <w:rPr>
                <w:rStyle w:val="Hyperlink"/>
                <w:rFonts w:ascii="Times New Roman" w:eastAsia="Calibri" w:hAnsi="Times New Roman" w:cs="Times New Roman"/>
                <w:color w:val="auto"/>
                <w:sz w:val="24"/>
                <w:szCs w:val="24"/>
                <w:u w:val="none"/>
              </w:rPr>
              <w:t>South Carolina Department of Consumer Affairs</w:t>
            </w:r>
          </w:p>
          <w:p w14:paraId="4F4F7561"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293 Greystone Boulevard, Suite 400</w:t>
            </w:r>
          </w:p>
          <w:p w14:paraId="3656DD2F"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P.O. Box 5757</w:t>
            </w:r>
          </w:p>
          <w:p w14:paraId="3D7030D6"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Columbia, SC 29250-5757</w:t>
            </w:r>
          </w:p>
          <w:p w14:paraId="140E56A4" w14:textId="77777777" w:rsidR="00146F50" w:rsidRDefault="00146F50" w:rsidP="008C08D2">
            <w:pPr>
              <w:contextualSpacing/>
              <w:rPr>
                <w:rFonts w:ascii="Times New Roman" w:eastAsia="Times New Roman" w:hAnsi="Times New Roman" w:cs="Times New Roman"/>
                <w:i/>
                <w:sz w:val="24"/>
                <w:szCs w:val="24"/>
              </w:rPr>
            </w:pPr>
            <w:r w:rsidRPr="00066A3E">
              <w:rPr>
                <w:rFonts w:ascii="Times New Roman" w:eastAsia="Times New Roman" w:hAnsi="Times New Roman" w:cs="Times New Roman"/>
                <w:i/>
                <w:sz w:val="24"/>
                <w:szCs w:val="24"/>
              </w:rPr>
              <w:t>Attorneys for Plaintiff South Carolina Department of Consumer Affairs</w:t>
            </w:r>
          </w:p>
          <w:p w14:paraId="051E7D57" w14:textId="77777777" w:rsidR="00146F50" w:rsidRDefault="00146F50" w:rsidP="008C08D2">
            <w:pPr>
              <w:contextualSpacing/>
              <w:rPr>
                <w:rFonts w:ascii="Times New Roman" w:eastAsia="Times New Roman" w:hAnsi="Times New Roman" w:cs="Times New Roman"/>
                <w:i/>
                <w:sz w:val="24"/>
                <w:szCs w:val="24"/>
              </w:rPr>
            </w:pPr>
          </w:p>
          <w:p w14:paraId="468E8023" w14:textId="77777777" w:rsidR="00146F50" w:rsidRPr="00066A3E" w:rsidRDefault="00146F50" w:rsidP="008C08D2">
            <w:pPr>
              <w:contextualSpacing/>
              <w:rPr>
                <w:rFonts w:ascii="Times New Roman" w:eastAsia="Times New Roman" w:hAnsi="Times New Roman" w:cs="Times New Roman"/>
                <w:i/>
                <w:sz w:val="24"/>
                <w:szCs w:val="24"/>
              </w:rPr>
            </w:pPr>
          </w:p>
        </w:tc>
      </w:tr>
      <w:tr w:rsidR="00146F50" w14:paraId="3D4544C5" w14:textId="77777777" w:rsidTr="008C08D2">
        <w:trPr>
          <w:trHeight w:val="3585"/>
        </w:trPr>
        <w:tc>
          <w:tcPr>
            <w:tcW w:w="4675" w:type="dxa"/>
            <w:vMerge/>
          </w:tcPr>
          <w:p w14:paraId="3D3F5362" w14:textId="77777777" w:rsidR="00146F50" w:rsidRPr="00BA7822" w:rsidRDefault="00146F50" w:rsidP="008C08D2">
            <w:pPr>
              <w:rPr>
                <w:rFonts w:ascii="Times New Roman" w:eastAsia="Calibri" w:hAnsi="Times New Roman" w:cs="Times New Roman"/>
                <w:sz w:val="24"/>
                <w:szCs w:val="24"/>
              </w:rPr>
            </w:pPr>
          </w:p>
        </w:tc>
        <w:tc>
          <w:tcPr>
            <w:tcW w:w="540" w:type="dxa"/>
            <w:vMerge/>
          </w:tcPr>
          <w:p w14:paraId="416EB71C" w14:textId="77777777" w:rsidR="00146F50" w:rsidRDefault="00146F50" w:rsidP="008C08D2">
            <w:pPr>
              <w:spacing w:line="480" w:lineRule="auto"/>
              <w:contextualSpacing/>
              <w:rPr>
                <w:rFonts w:ascii="Times New Roman" w:eastAsia="Times New Roman" w:hAnsi="Times New Roman" w:cs="Times New Roman"/>
                <w:sz w:val="24"/>
                <w:szCs w:val="24"/>
              </w:rPr>
            </w:pPr>
          </w:p>
        </w:tc>
        <w:tc>
          <w:tcPr>
            <w:tcW w:w="4135" w:type="dxa"/>
          </w:tcPr>
          <w:p w14:paraId="4F738536" w14:textId="77777777" w:rsidR="00146F50" w:rsidRPr="00BA7822" w:rsidRDefault="00146F50" w:rsidP="008C08D2">
            <w:pPr>
              <w:rPr>
                <w:rFonts w:ascii="Times New Roman" w:eastAsia="Calibri" w:hAnsi="Times New Roman" w:cs="Times New Roman"/>
                <w:sz w:val="24"/>
                <w:szCs w:val="24"/>
              </w:rPr>
            </w:pPr>
            <w:r w:rsidRPr="00BA7822">
              <w:rPr>
                <w:rFonts w:ascii="Times New Roman" w:eastAsia="Calibri" w:hAnsi="Times New Roman" w:cs="Times New Roman"/>
                <w:sz w:val="24"/>
                <w:szCs w:val="24"/>
              </w:rPr>
              <w:t>Leslie Rutledge</w:t>
            </w:r>
          </w:p>
          <w:p w14:paraId="1DCA52DE" w14:textId="77777777" w:rsidR="00146F50" w:rsidRPr="00BA7822" w:rsidRDefault="00146F50" w:rsidP="008C08D2">
            <w:pPr>
              <w:rPr>
                <w:rFonts w:ascii="Times New Roman" w:eastAsia="Calibri" w:hAnsi="Times New Roman" w:cs="Times New Roman"/>
                <w:i/>
                <w:sz w:val="24"/>
                <w:szCs w:val="24"/>
              </w:rPr>
            </w:pPr>
            <w:r w:rsidRPr="00BA7822">
              <w:rPr>
                <w:rFonts w:ascii="Times New Roman" w:eastAsia="Calibri" w:hAnsi="Times New Roman" w:cs="Times New Roman"/>
                <w:i/>
                <w:sz w:val="24"/>
                <w:szCs w:val="24"/>
              </w:rPr>
              <w:t>Attorney General</w:t>
            </w:r>
          </w:p>
          <w:p w14:paraId="413AB1CB" w14:textId="77777777" w:rsidR="00146F50" w:rsidRDefault="00146F50" w:rsidP="008C08D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s/Kelly H. Rainsford______________</w:t>
            </w:r>
          </w:p>
          <w:p w14:paraId="03C38C4C" w14:textId="77777777" w:rsidR="00146F50" w:rsidRDefault="00146F50" w:rsidP="008C08D2">
            <w:pPr>
              <w:rPr>
                <w:rFonts w:ascii="Times New Roman" w:eastAsia="Calibri" w:hAnsi="Times New Roman" w:cs="Times New Roman"/>
                <w:sz w:val="24"/>
                <w:szCs w:val="24"/>
              </w:rPr>
            </w:pPr>
            <w:r>
              <w:rPr>
                <w:rFonts w:ascii="Times New Roman" w:eastAsia="Calibri" w:hAnsi="Times New Roman" w:cs="Times New Roman"/>
                <w:sz w:val="24"/>
                <w:szCs w:val="24"/>
              </w:rPr>
              <w:t>Kate Donoven (AR Bar # 98189)</w:t>
            </w:r>
          </w:p>
          <w:p w14:paraId="7FE9E106" w14:textId="77777777" w:rsidR="00146F50" w:rsidRDefault="00146F50" w:rsidP="008C08D2">
            <w:pPr>
              <w:rPr>
                <w:rFonts w:ascii="Times New Roman" w:eastAsia="Calibri" w:hAnsi="Times New Roman" w:cs="Times New Roman"/>
                <w:i/>
                <w:sz w:val="24"/>
                <w:szCs w:val="24"/>
              </w:rPr>
            </w:pPr>
            <w:r w:rsidRPr="00066A3E">
              <w:rPr>
                <w:rFonts w:ascii="Times New Roman" w:eastAsia="Calibri" w:hAnsi="Times New Roman" w:cs="Times New Roman"/>
                <w:i/>
                <w:sz w:val="24"/>
                <w:szCs w:val="24"/>
              </w:rPr>
              <w:t>Senior Assistant Attorney General</w:t>
            </w:r>
          </w:p>
          <w:p w14:paraId="4A6AA3D5" w14:textId="77777777" w:rsidR="00146F50" w:rsidRPr="00771230" w:rsidRDefault="00146F50" w:rsidP="008C08D2">
            <w:pPr>
              <w:rPr>
                <w:rFonts w:ascii="Times New Roman" w:eastAsia="Calibri" w:hAnsi="Times New Roman" w:cs="Times New Roman"/>
                <w:sz w:val="24"/>
                <w:szCs w:val="24"/>
              </w:rPr>
            </w:pPr>
            <w:r>
              <w:rPr>
                <w:rFonts w:ascii="Times New Roman" w:eastAsia="Calibri" w:hAnsi="Times New Roman" w:cs="Times New Roman"/>
                <w:sz w:val="24"/>
                <w:szCs w:val="24"/>
              </w:rPr>
              <w:t>(</w:t>
            </w:r>
            <w:r w:rsidRPr="00771230">
              <w:rPr>
                <w:rFonts w:ascii="Times New Roman" w:eastAsia="Calibri" w:hAnsi="Times New Roman" w:cs="Times New Roman"/>
                <w:i/>
                <w:sz w:val="24"/>
                <w:szCs w:val="24"/>
              </w:rPr>
              <w:t>pro hac vice</w:t>
            </w:r>
            <w:r>
              <w:rPr>
                <w:rFonts w:ascii="Times New Roman" w:eastAsia="Calibri" w:hAnsi="Times New Roman" w:cs="Times New Roman"/>
                <w:sz w:val="24"/>
                <w:szCs w:val="24"/>
              </w:rPr>
              <w:t xml:space="preserve"> application to be filed)</w:t>
            </w:r>
          </w:p>
          <w:p w14:paraId="781BF792"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Arkansas Attorney General’s Office</w:t>
            </w:r>
          </w:p>
          <w:p w14:paraId="63F58A08"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323 Center Street, Suite 200</w:t>
            </w:r>
          </w:p>
          <w:p w14:paraId="5DBD479F"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Little Rock, AR 72201</w:t>
            </w:r>
          </w:p>
          <w:p w14:paraId="41717C1F"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Telephone: (501) 682-8114</w:t>
            </w:r>
          </w:p>
          <w:p w14:paraId="39B3978A"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Facsimile: (501) 682-8118</w:t>
            </w:r>
          </w:p>
          <w:p w14:paraId="39C960A6" w14:textId="77777777" w:rsidR="00146F50" w:rsidRPr="00066A3E" w:rsidRDefault="00146F50" w:rsidP="008C08D2">
            <w:pPr>
              <w:rPr>
                <w:rFonts w:ascii="Times New Roman" w:eastAsia="Calibri" w:hAnsi="Times New Roman" w:cs="Times New Roman"/>
                <w:sz w:val="24"/>
                <w:szCs w:val="24"/>
              </w:rPr>
            </w:pPr>
            <w:r w:rsidRPr="00066A3E">
              <w:rPr>
                <w:rFonts w:ascii="Times New Roman" w:eastAsia="Calibri" w:hAnsi="Times New Roman" w:cs="Times New Roman"/>
                <w:sz w:val="24"/>
                <w:szCs w:val="24"/>
              </w:rPr>
              <w:t>kate.donoven@arkansasag.gov</w:t>
            </w:r>
          </w:p>
          <w:p w14:paraId="7D8DA022" w14:textId="77777777" w:rsidR="00146F50" w:rsidRPr="00066A3E" w:rsidRDefault="00146F50" w:rsidP="008C08D2">
            <w:pPr>
              <w:rPr>
                <w:rFonts w:ascii="Times New Roman" w:eastAsia="Calibri" w:hAnsi="Times New Roman" w:cs="Times New Roman"/>
                <w:i/>
                <w:sz w:val="24"/>
                <w:szCs w:val="24"/>
              </w:rPr>
            </w:pPr>
            <w:r w:rsidRPr="00066A3E">
              <w:rPr>
                <w:rFonts w:ascii="Times New Roman" w:eastAsia="Calibri" w:hAnsi="Times New Roman" w:cs="Times New Roman"/>
                <w:i/>
                <w:sz w:val="24"/>
                <w:szCs w:val="24"/>
              </w:rPr>
              <w:t>Attorney for Plaintiff State of Arkansas ex rel. Leslie Rutledge, Attorney General</w:t>
            </w:r>
          </w:p>
        </w:tc>
      </w:tr>
    </w:tbl>
    <w:p w14:paraId="106DD103" w14:textId="657F1165" w:rsidR="0031747C" w:rsidRPr="00CE219D" w:rsidRDefault="0031747C" w:rsidP="007753CF">
      <w:pPr>
        <w:spacing w:after="0" w:line="240" w:lineRule="auto"/>
        <w:ind w:firstLine="720"/>
        <w:rPr>
          <w:rFonts w:ascii="Times New Roman" w:hAnsi="Times New Roman" w:cs="Times New Roman"/>
          <w:sz w:val="24"/>
          <w:szCs w:val="24"/>
        </w:rPr>
      </w:pPr>
      <w:r w:rsidRPr="00CE219D">
        <w:rPr>
          <w:rFonts w:ascii="Times New Roman" w:eastAsia="Calibri" w:hAnsi="Times New Roman" w:cs="Times New Roman"/>
          <w:sz w:val="24"/>
          <w:szCs w:val="24"/>
        </w:rPr>
        <w:tab/>
      </w:r>
      <w:r w:rsidRPr="00CE219D">
        <w:rPr>
          <w:rFonts w:ascii="Times New Roman" w:eastAsia="Calibri" w:hAnsi="Times New Roman" w:cs="Times New Roman"/>
          <w:sz w:val="24"/>
          <w:szCs w:val="24"/>
        </w:rPr>
        <w:tab/>
      </w:r>
    </w:p>
    <w:sectPr w:rsidR="0031747C" w:rsidRPr="00CE219D" w:rsidSect="0057680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B5EB" w14:textId="77777777" w:rsidR="008E1834" w:rsidRDefault="008E1834" w:rsidP="00EE4B18">
      <w:pPr>
        <w:spacing w:after="0" w:line="240" w:lineRule="auto"/>
      </w:pPr>
      <w:r>
        <w:separator/>
      </w:r>
    </w:p>
  </w:endnote>
  <w:endnote w:type="continuationSeparator" w:id="0">
    <w:p w14:paraId="27CC0EF7" w14:textId="77777777" w:rsidR="008E1834" w:rsidRDefault="008E1834" w:rsidP="00E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17485948"/>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6E1AB60" w14:textId="6CC75D2A" w:rsidR="00EE4B18" w:rsidRPr="00146F50" w:rsidRDefault="00146F50" w:rsidP="00146F50">
            <w:pPr>
              <w:pStyle w:val="Footer"/>
              <w:jc w:val="center"/>
              <w:rPr>
                <w:rFonts w:ascii="Times New Roman" w:hAnsi="Times New Roman" w:cs="Times New Roman"/>
                <w:sz w:val="24"/>
                <w:szCs w:val="24"/>
              </w:rPr>
            </w:pPr>
            <w:r w:rsidRPr="00146F50">
              <w:rPr>
                <w:rFonts w:ascii="Times New Roman" w:hAnsi="Times New Roman" w:cs="Times New Roman"/>
                <w:sz w:val="24"/>
                <w:szCs w:val="24"/>
              </w:rPr>
              <w:t xml:space="preserve">Page </w:t>
            </w:r>
            <w:r w:rsidRPr="00146F50">
              <w:rPr>
                <w:rFonts w:ascii="Times New Roman" w:hAnsi="Times New Roman" w:cs="Times New Roman"/>
                <w:bCs/>
                <w:sz w:val="24"/>
                <w:szCs w:val="24"/>
              </w:rPr>
              <w:fldChar w:fldCharType="begin"/>
            </w:r>
            <w:r w:rsidRPr="00146F50">
              <w:rPr>
                <w:rFonts w:ascii="Times New Roman" w:hAnsi="Times New Roman" w:cs="Times New Roman"/>
                <w:bCs/>
                <w:sz w:val="24"/>
                <w:szCs w:val="24"/>
              </w:rPr>
              <w:instrText xml:space="preserve"> PAGE </w:instrText>
            </w:r>
            <w:r w:rsidRPr="00146F50">
              <w:rPr>
                <w:rFonts w:ascii="Times New Roman" w:hAnsi="Times New Roman" w:cs="Times New Roman"/>
                <w:bCs/>
                <w:sz w:val="24"/>
                <w:szCs w:val="24"/>
              </w:rPr>
              <w:fldChar w:fldCharType="separate"/>
            </w:r>
            <w:r w:rsidR="00A161E9">
              <w:rPr>
                <w:rFonts w:ascii="Times New Roman" w:hAnsi="Times New Roman" w:cs="Times New Roman"/>
                <w:bCs/>
                <w:noProof/>
                <w:sz w:val="24"/>
                <w:szCs w:val="24"/>
              </w:rPr>
              <w:t>1</w:t>
            </w:r>
            <w:r w:rsidRPr="00146F50">
              <w:rPr>
                <w:rFonts w:ascii="Times New Roman" w:hAnsi="Times New Roman" w:cs="Times New Roman"/>
                <w:bCs/>
                <w:sz w:val="24"/>
                <w:szCs w:val="24"/>
              </w:rPr>
              <w:fldChar w:fldCharType="end"/>
            </w:r>
            <w:r w:rsidRPr="00146F50">
              <w:rPr>
                <w:rFonts w:ascii="Times New Roman" w:hAnsi="Times New Roman" w:cs="Times New Roman"/>
                <w:sz w:val="24"/>
                <w:szCs w:val="24"/>
              </w:rPr>
              <w:t xml:space="preserve"> of </w:t>
            </w:r>
            <w:r w:rsidRPr="00146F50">
              <w:rPr>
                <w:rFonts w:ascii="Times New Roman" w:hAnsi="Times New Roman" w:cs="Times New Roman"/>
                <w:bCs/>
                <w:sz w:val="24"/>
                <w:szCs w:val="24"/>
              </w:rPr>
              <w:fldChar w:fldCharType="begin"/>
            </w:r>
            <w:r w:rsidRPr="00146F50">
              <w:rPr>
                <w:rFonts w:ascii="Times New Roman" w:hAnsi="Times New Roman" w:cs="Times New Roman"/>
                <w:bCs/>
                <w:sz w:val="24"/>
                <w:szCs w:val="24"/>
              </w:rPr>
              <w:instrText xml:space="preserve"> NUMPAGES  </w:instrText>
            </w:r>
            <w:r w:rsidRPr="00146F50">
              <w:rPr>
                <w:rFonts w:ascii="Times New Roman" w:hAnsi="Times New Roman" w:cs="Times New Roman"/>
                <w:bCs/>
                <w:sz w:val="24"/>
                <w:szCs w:val="24"/>
              </w:rPr>
              <w:fldChar w:fldCharType="separate"/>
            </w:r>
            <w:r w:rsidR="00A161E9">
              <w:rPr>
                <w:rFonts w:ascii="Times New Roman" w:hAnsi="Times New Roman" w:cs="Times New Roman"/>
                <w:bCs/>
                <w:noProof/>
                <w:sz w:val="24"/>
                <w:szCs w:val="24"/>
              </w:rPr>
              <w:t>1</w:t>
            </w:r>
            <w:r w:rsidRPr="00146F50">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47F6" w14:textId="77777777" w:rsidR="008E1834" w:rsidRDefault="008E1834" w:rsidP="00EE4B18">
      <w:pPr>
        <w:spacing w:after="0" w:line="240" w:lineRule="auto"/>
      </w:pPr>
      <w:r>
        <w:separator/>
      </w:r>
    </w:p>
  </w:footnote>
  <w:footnote w:type="continuationSeparator" w:id="0">
    <w:p w14:paraId="1101627D" w14:textId="77777777" w:rsidR="008E1834" w:rsidRDefault="008E1834" w:rsidP="00E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00"/>
    <w:multiLevelType w:val="hybridMultilevel"/>
    <w:tmpl w:val="A072DBF2"/>
    <w:lvl w:ilvl="0" w:tplc="B22E3FD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B0663"/>
    <w:multiLevelType w:val="hybridMultilevel"/>
    <w:tmpl w:val="18D87D1C"/>
    <w:lvl w:ilvl="0" w:tplc="B22E3FD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470EB"/>
    <w:multiLevelType w:val="hybridMultilevel"/>
    <w:tmpl w:val="57A8408E"/>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E3631"/>
    <w:multiLevelType w:val="hybridMultilevel"/>
    <w:tmpl w:val="AFE6B100"/>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701FB"/>
    <w:multiLevelType w:val="hybridMultilevel"/>
    <w:tmpl w:val="33280A32"/>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E59A7"/>
    <w:multiLevelType w:val="hybridMultilevel"/>
    <w:tmpl w:val="33280A32"/>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86FA6"/>
    <w:multiLevelType w:val="hybridMultilevel"/>
    <w:tmpl w:val="33280A32"/>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96ADE"/>
    <w:multiLevelType w:val="hybridMultilevel"/>
    <w:tmpl w:val="522A85A8"/>
    <w:lvl w:ilvl="0" w:tplc="5A409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807DB"/>
    <w:multiLevelType w:val="hybridMultilevel"/>
    <w:tmpl w:val="E8DE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F"/>
    <w:rsid w:val="00004396"/>
    <w:rsid w:val="0001223F"/>
    <w:rsid w:val="0001615E"/>
    <w:rsid w:val="00025B67"/>
    <w:rsid w:val="00042821"/>
    <w:rsid w:val="000455D3"/>
    <w:rsid w:val="00063758"/>
    <w:rsid w:val="0007171F"/>
    <w:rsid w:val="00071FA1"/>
    <w:rsid w:val="000749AD"/>
    <w:rsid w:val="00075E57"/>
    <w:rsid w:val="00080380"/>
    <w:rsid w:val="00082BB4"/>
    <w:rsid w:val="0008517F"/>
    <w:rsid w:val="0009022D"/>
    <w:rsid w:val="00090C98"/>
    <w:rsid w:val="000921BD"/>
    <w:rsid w:val="00095436"/>
    <w:rsid w:val="00095BC3"/>
    <w:rsid w:val="000A3427"/>
    <w:rsid w:val="000A45BA"/>
    <w:rsid w:val="000B214A"/>
    <w:rsid w:val="000B2200"/>
    <w:rsid w:val="000B2DCB"/>
    <w:rsid w:val="000B5408"/>
    <w:rsid w:val="000C2E01"/>
    <w:rsid w:val="000C47B0"/>
    <w:rsid w:val="000D0D54"/>
    <w:rsid w:val="000D277C"/>
    <w:rsid w:val="000D57AF"/>
    <w:rsid w:val="000D7CFB"/>
    <w:rsid w:val="000E1B08"/>
    <w:rsid w:val="000E2C2C"/>
    <w:rsid w:val="000E44FE"/>
    <w:rsid w:val="000E6295"/>
    <w:rsid w:val="000F3241"/>
    <w:rsid w:val="000F6CF8"/>
    <w:rsid w:val="000F6ECC"/>
    <w:rsid w:val="00105CFB"/>
    <w:rsid w:val="00105EC0"/>
    <w:rsid w:val="00106206"/>
    <w:rsid w:val="00107B1A"/>
    <w:rsid w:val="00111379"/>
    <w:rsid w:val="0011151B"/>
    <w:rsid w:val="00111F66"/>
    <w:rsid w:val="00113013"/>
    <w:rsid w:val="00120948"/>
    <w:rsid w:val="001219BA"/>
    <w:rsid w:val="00131A72"/>
    <w:rsid w:val="00136960"/>
    <w:rsid w:val="001431BB"/>
    <w:rsid w:val="00146F50"/>
    <w:rsid w:val="0015139A"/>
    <w:rsid w:val="00153BEE"/>
    <w:rsid w:val="00155B79"/>
    <w:rsid w:val="00161954"/>
    <w:rsid w:val="00166112"/>
    <w:rsid w:val="00167B28"/>
    <w:rsid w:val="00180C41"/>
    <w:rsid w:val="00180E4A"/>
    <w:rsid w:val="0018240F"/>
    <w:rsid w:val="00182605"/>
    <w:rsid w:val="00182B42"/>
    <w:rsid w:val="00187DF7"/>
    <w:rsid w:val="00194E9B"/>
    <w:rsid w:val="00195ACD"/>
    <w:rsid w:val="001A60E7"/>
    <w:rsid w:val="001A6CD6"/>
    <w:rsid w:val="001B406B"/>
    <w:rsid w:val="001B65E0"/>
    <w:rsid w:val="001C211D"/>
    <w:rsid w:val="001D0869"/>
    <w:rsid w:val="001D747B"/>
    <w:rsid w:val="001D7BD5"/>
    <w:rsid w:val="001E22A1"/>
    <w:rsid w:val="001E7CD9"/>
    <w:rsid w:val="001F0F24"/>
    <w:rsid w:val="001F1F96"/>
    <w:rsid w:val="001F4DBC"/>
    <w:rsid w:val="002025C6"/>
    <w:rsid w:val="002105EE"/>
    <w:rsid w:val="002112AE"/>
    <w:rsid w:val="00222EFE"/>
    <w:rsid w:val="00234511"/>
    <w:rsid w:val="002361BA"/>
    <w:rsid w:val="00240094"/>
    <w:rsid w:val="00243968"/>
    <w:rsid w:val="00245796"/>
    <w:rsid w:val="0024613E"/>
    <w:rsid w:val="00246568"/>
    <w:rsid w:val="00250382"/>
    <w:rsid w:val="00253563"/>
    <w:rsid w:val="002547D1"/>
    <w:rsid w:val="002563B9"/>
    <w:rsid w:val="002668DB"/>
    <w:rsid w:val="00266D1C"/>
    <w:rsid w:val="00267BC4"/>
    <w:rsid w:val="00270746"/>
    <w:rsid w:val="00281A2B"/>
    <w:rsid w:val="00284EE4"/>
    <w:rsid w:val="0028689C"/>
    <w:rsid w:val="00295D53"/>
    <w:rsid w:val="002A4A0B"/>
    <w:rsid w:val="002A6F28"/>
    <w:rsid w:val="002B0A30"/>
    <w:rsid w:val="002B136D"/>
    <w:rsid w:val="002B2819"/>
    <w:rsid w:val="002B3132"/>
    <w:rsid w:val="002B70D5"/>
    <w:rsid w:val="002C071E"/>
    <w:rsid w:val="002C5084"/>
    <w:rsid w:val="002D0B74"/>
    <w:rsid w:val="002D311D"/>
    <w:rsid w:val="002D462F"/>
    <w:rsid w:val="002D5EA4"/>
    <w:rsid w:val="002D79B8"/>
    <w:rsid w:val="002E0922"/>
    <w:rsid w:val="002E0D09"/>
    <w:rsid w:val="002E63A1"/>
    <w:rsid w:val="002E7DEF"/>
    <w:rsid w:val="002F3FF4"/>
    <w:rsid w:val="002F75C6"/>
    <w:rsid w:val="00301857"/>
    <w:rsid w:val="0030291F"/>
    <w:rsid w:val="00310F04"/>
    <w:rsid w:val="003115FD"/>
    <w:rsid w:val="00311777"/>
    <w:rsid w:val="00316333"/>
    <w:rsid w:val="0031667B"/>
    <w:rsid w:val="00317171"/>
    <w:rsid w:val="0031747C"/>
    <w:rsid w:val="0032041C"/>
    <w:rsid w:val="0032151F"/>
    <w:rsid w:val="00322339"/>
    <w:rsid w:val="00326D49"/>
    <w:rsid w:val="00332F2F"/>
    <w:rsid w:val="00342E2A"/>
    <w:rsid w:val="00346E89"/>
    <w:rsid w:val="0035010E"/>
    <w:rsid w:val="00351A97"/>
    <w:rsid w:val="00352786"/>
    <w:rsid w:val="00355853"/>
    <w:rsid w:val="00355951"/>
    <w:rsid w:val="00356432"/>
    <w:rsid w:val="00357469"/>
    <w:rsid w:val="0036084B"/>
    <w:rsid w:val="00361BA2"/>
    <w:rsid w:val="00362C9F"/>
    <w:rsid w:val="00367609"/>
    <w:rsid w:val="003716CA"/>
    <w:rsid w:val="0037330D"/>
    <w:rsid w:val="003747D0"/>
    <w:rsid w:val="003755A7"/>
    <w:rsid w:val="00383EF1"/>
    <w:rsid w:val="00396BFA"/>
    <w:rsid w:val="003A3B3B"/>
    <w:rsid w:val="003A4DDC"/>
    <w:rsid w:val="003A53EC"/>
    <w:rsid w:val="003B1724"/>
    <w:rsid w:val="003B2A2A"/>
    <w:rsid w:val="003B36A2"/>
    <w:rsid w:val="003B6159"/>
    <w:rsid w:val="003C1AAF"/>
    <w:rsid w:val="003C3C37"/>
    <w:rsid w:val="003C5DE6"/>
    <w:rsid w:val="003D7D59"/>
    <w:rsid w:val="003E0B21"/>
    <w:rsid w:val="003F023A"/>
    <w:rsid w:val="003F23F5"/>
    <w:rsid w:val="003F2F4F"/>
    <w:rsid w:val="003F3293"/>
    <w:rsid w:val="003F3337"/>
    <w:rsid w:val="003F36C1"/>
    <w:rsid w:val="003F37ED"/>
    <w:rsid w:val="00405F7B"/>
    <w:rsid w:val="004076FA"/>
    <w:rsid w:val="00407E26"/>
    <w:rsid w:val="004218BD"/>
    <w:rsid w:val="004278D3"/>
    <w:rsid w:val="00427FDE"/>
    <w:rsid w:val="0043063F"/>
    <w:rsid w:val="0043196E"/>
    <w:rsid w:val="00433131"/>
    <w:rsid w:val="0043585B"/>
    <w:rsid w:val="00436C49"/>
    <w:rsid w:val="00437607"/>
    <w:rsid w:val="0044753F"/>
    <w:rsid w:val="004545A2"/>
    <w:rsid w:val="00455B45"/>
    <w:rsid w:val="0046139C"/>
    <w:rsid w:val="00461D7D"/>
    <w:rsid w:val="00464A52"/>
    <w:rsid w:val="0046672C"/>
    <w:rsid w:val="00466986"/>
    <w:rsid w:val="00470B18"/>
    <w:rsid w:val="004718EB"/>
    <w:rsid w:val="004737A4"/>
    <w:rsid w:val="0047526B"/>
    <w:rsid w:val="00475B0D"/>
    <w:rsid w:val="004761F2"/>
    <w:rsid w:val="00481F6C"/>
    <w:rsid w:val="00482C2F"/>
    <w:rsid w:val="004833E7"/>
    <w:rsid w:val="00486785"/>
    <w:rsid w:val="00486E7A"/>
    <w:rsid w:val="004932F4"/>
    <w:rsid w:val="00494C65"/>
    <w:rsid w:val="004956FC"/>
    <w:rsid w:val="00496405"/>
    <w:rsid w:val="004B3700"/>
    <w:rsid w:val="004B37CA"/>
    <w:rsid w:val="004B4DD5"/>
    <w:rsid w:val="004C1027"/>
    <w:rsid w:val="004C4BD5"/>
    <w:rsid w:val="004C5CC7"/>
    <w:rsid w:val="004D2210"/>
    <w:rsid w:val="004D6151"/>
    <w:rsid w:val="004D7302"/>
    <w:rsid w:val="004E03AB"/>
    <w:rsid w:val="004E0741"/>
    <w:rsid w:val="004E1100"/>
    <w:rsid w:val="004E38E9"/>
    <w:rsid w:val="004E53C9"/>
    <w:rsid w:val="004E6C5E"/>
    <w:rsid w:val="004F3E92"/>
    <w:rsid w:val="004F76D8"/>
    <w:rsid w:val="0050184B"/>
    <w:rsid w:val="0050511E"/>
    <w:rsid w:val="005130D1"/>
    <w:rsid w:val="005139B9"/>
    <w:rsid w:val="00513C7F"/>
    <w:rsid w:val="00515C95"/>
    <w:rsid w:val="0052034C"/>
    <w:rsid w:val="00520F4F"/>
    <w:rsid w:val="0052396F"/>
    <w:rsid w:val="005242E1"/>
    <w:rsid w:val="0053445D"/>
    <w:rsid w:val="00534CF0"/>
    <w:rsid w:val="00535336"/>
    <w:rsid w:val="005663DC"/>
    <w:rsid w:val="00572F07"/>
    <w:rsid w:val="005737A1"/>
    <w:rsid w:val="00576807"/>
    <w:rsid w:val="00576FDA"/>
    <w:rsid w:val="00581550"/>
    <w:rsid w:val="005845D4"/>
    <w:rsid w:val="0058612B"/>
    <w:rsid w:val="005936A4"/>
    <w:rsid w:val="00596011"/>
    <w:rsid w:val="0059683F"/>
    <w:rsid w:val="005A3E1A"/>
    <w:rsid w:val="005A772A"/>
    <w:rsid w:val="005B3BE8"/>
    <w:rsid w:val="005B3E3F"/>
    <w:rsid w:val="005B55B5"/>
    <w:rsid w:val="005B5A9A"/>
    <w:rsid w:val="005B6B16"/>
    <w:rsid w:val="005D0391"/>
    <w:rsid w:val="005D6033"/>
    <w:rsid w:val="005F419B"/>
    <w:rsid w:val="005F430F"/>
    <w:rsid w:val="005F556B"/>
    <w:rsid w:val="0060146E"/>
    <w:rsid w:val="00601AC9"/>
    <w:rsid w:val="0060311C"/>
    <w:rsid w:val="00610BB0"/>
    <w:rsid w:val="00611E78"/>
    <w:rsid w:val="00616686"/>
    <w:rsid w:val="00621CC9"/>
    <w:rsid w:val="00623081"/>
    <w:rsid w:val="00623A55"/>
    <w:rsid w:val="006241C4"/>
    <w:rsid w:val="0062445E"/>
    <w:rsid w:val="00624B29"/>
    <w:rsid w:val="006253E5"/>
    <w:rsid w:val="006270A5"/>
    <w:rsid w:val="0063105E"/>
    <w:rsid w:val="00634040"/>
    <w:rsid w:val="00634A47"/>
    <w:rsid w:val="00635365"/>
    <w:rsid w:val="00636B21"/>
    <w:rsid w:val="006458B5"/>
    <w:rsid w:val="00645FAC"/>
    <w:rsid w:val="00646126"/>
    <w:rsid w:val="00647498"/>
    <w:rsid w:val="00647BF4"/>
    <w:rsid w:val="00650AA9"/>
    <w:rsid w:val="00651D9E"/>
    <w:rsid w:val="00653AF4"/>
    <w:rsid w:val="006550FD"/>
    <w:rsid w:val="00656AA0"/>
    <w:rsid w:val="00660160"/>
    <w:rsid w:val="00662B3B"/>
    <w:rsid w:val="00675728"/>
    <w:rsid w:val="00676949"/>
    <w:rsid w:val="00684251"/>
    <w:rsid w:val="00686CA4"/>
    <w:rsid w:val="00692153"/>
    <w:rsid w:val="00693DAF"/>
    <w:rsid w:val="00695B0A"/>
    <w:rsid w:val="006973E8"/>
    <w:rsid w:val="006A102E"/>
    <w:rsid w:val="006A6FEB"/>
    <w:rsid w:val="006A73DE"/>
    <w:rsid w:val="006B11A3"/>
    <w:rsid w:val="006B252E"/>
    <w:rsid w:val="006B4D41"/>
    <w:rsid w:val="006C56AD"/>
    <w:rsid w:val="006C5C1A"/>
    <w:rsid w:val="006C6B7F"/>
    <w:rsid w:val="006D3442"/>
    <w:rsid w:val="006D7E72"/>
    <w:rsid w:val="006E0F3E"/>
    <w:rsid w:val="006E223C"/>
    <w:rsid w:val="006F0883"/>
    <w:rsid w:val="00702DD3"/>
    <w:rsid w:val="00711EE0"/>
    <w:rsid w:val="00720BDC"/>
    <w:rsid w:val="00721D86"/>
    <w:rsid w:val="00722E7C"/>
    <w:rsid w:val="007262C0"/>
    <w:rsid w:val="00727E30"/>
    <w:rsid w:val="00744881"/>
    <w:rsid w:val="007476B8"/>
    <w:rsid w:val="00747863"/>
    <w:rsid w:val="00751D66"/>
    <w:rsid w:val="0075310A"/>
    <w:rsid w:val="0075543C"/>
    <w:rsid w:val="00764CDE"/>
    <w:rsid w:val="00765092"/>
    <w:rsid w:val="00765C9C"/>
    <w:rsid w:val="0076725D"/>
    <w:rsid w:val="00767B22"/>
    <w:rsid w:val="00774C35"/>
    <w:rsid w:val="007753CF"/>
    <w:rsid w:val="00775D72"/>
    <w:rsid w:val="00777992"/>
    <w:rsid w:val="00777D2B"/>
    <w:rsid w:val="007831A0"/>
    <w:rsid w:val="00791569"/>
    <w:rsid w:val="007922B0"/>
    <w:rsid w:val="0079252B"/>
    <w:rsid w:val="00796636"/>
    <w:rsid w:val="007973C8"/>
    <w:rsid w:val="00797567"/>
    <w:rsid w:val="007A4805"/>
    <w:rsid w:val="007B09D0"/>
    <w:rsid w:val="007B234F"/>
    <w:rsid w:val="007B636D"/>
    <w:rsid w:val="007B67C3"/>
    <w:rsid w:val="007B73B0"/>
    <w:rsid w:val="007C0FA7"/>
    <w:rsid w:val="007C288B"/>
    <w:rsid w:val="007C3A85"/>
    <w:rsid w:val="007C71FD"/>
    <w:rsid w:val="007D219E"/>
    <w:rsid w:val="007D4076"/>
    <w:rsid w:val="007E76C3"/>
    <w:rsid w:val="007F508C"/>
    <w:rsid w:val="007F5A0B"/>
    <w:rsid w:val="007F6351"/>
    <w:rsid w:val="0080425B"/>
    <w:rsid w:val="00805F97"/>
    <w:rsid w:val="00807910"/>
    <w:rsid w:val="008118BA"/>
    <w:rsid w:val="008224C5"/>
    <w:rsid w:val="0082389E"/>
    <w:rsid w:val="00837FD0"/>
    <w:rsid w:val="00844D1E"/>
    <w:rsid w:val="008522E5"/>
    <w:rsid w:val="00852ABB"/>
    <w:rsid w:val="00854F7B"/>
    <w:rsid w:val="008603EA"/>
    <w:rsid w:val="0087037F"/>
    <w:rsid w:val="00870886"/>
    <w:rsid w:val="00875BED"/>
    <w:rsid w:val="00881117"/>
    <w:rsid w:val="00881433"/>
    <w:rsid w:val="00887CD1"/>
    <w:rsid w:val="00891252"/>
    <w:rsid w:val="008A086E"/>
    <w:rsid w:val="008A6C42"/>
    <w:rsid w:val="008B1A60"/>
    <w:rsid w:val="008B3599"/>
    <w:rsid w:val="008B4683"/>
    <w:rsid w:val="008B56E4"/>
    <w:rsid w:val="008B5A97"/>
    <w:rsid w:val="008C0134"/>
    <w:rsid w:val="008C358F"/>
    <w:rsid w:val="008C37B0"/>
    <w:rsid w:val="008E1349"/>
    <w:rsid w:val="008E1834"/>
    <w:rsid w:val="008E3148"/>
    <w:rsid w:val="008E60BA"/>
    <w:rsid w:val="008E702C"/>
    <w:rsid w:val="008E79C0"/>
    <w:rsid w:val="008F677E"/>
    <w:rsid w:val="009141C9"/>
    <w:rsid w:val="00914A16"/>
    <w:rsid w:val="00915457"/>
    <w:rsid w:val="00917934"/>
    <w:rsid w:val="00926C1D"/>
    <w:rsid w:val="00941020"/>
    <w:rsid w:val="0094266E"/>
    <w:rsid w:val="009458B6"/>
    <w:rsid w:val="00946DDB"/>
    <w:rsid w:val="00946E25"/>
    <w:rsid w:val="00962D18"/>
    <w:rsid w:val="009665A5"/>
    <w:rsid w:val="009666D4"/>
    <w:rsid w:val="00966CDE"/>
    <w:rsid w:val="00971471"/>
    <w:rsid w:val="0097523F"/>
    <w:rsid w:val="00976971"/>
    <w:rsid w:val="009821B1"/>
    <w:rsid w:val="009832D0"/>
    <w:rsid w:val="00985209"/>
    <w:rsid w:val="00987DCB"/>
    <w:rsid w:val="009A177B"/>
    <w:rsid w:val="009A33BA"/>
    <w:rsid w:val="009A366C"/>
    <w:rsid w:val="009A41EC"/>
    <w:rsid w:val="009A5C87"/>
    <w:rsid w:val="009A5F4E"/>
    <w:rsid w:val="009A631B"/>
    <w:rsid w:val="009A7A32"/>
    <w:rsid w:val="009B4900"/>
    <w:rsid w:val="009B5AC7"/>
    <w:rsid w:val="009C2B5B"/>
    <w:rsid w:val="009C5255"/>
    <w:rsid w:val="009C6DC5"/>
    <w:rsid w:val="009C732A"/>
    <w:rsid w:val="009C7938"/>
    <w:rsid w:val="009D07C8"/>
    <w:rsid w:val="009D68F1"/>
    <w:rsid w:val="009E30E6"/>
    <w:rsid w:val="009E593A"/>
    <w:rsid w:val="009E63EC"/>
    <w:rsid w:val="009F04C8"/>
    <w:rsid w:val="009F261A"/>
    <w:rsid w:val="009F2FE0"/>
    <w:rsid w:val="009F32CE"/>
    <w:rsid w:val="00A0603C"/>
    <w:rsid w:val="00A0727C"/>
    <w:rsid w:val="00A14CD6"/>
    <w:rsid w:val="00A161E9"/>
    <w:rsid w:val="00A31E47"/>
    <w:rsid w:val="00A33620"/>
    <w:rsid w:val="00A36238"/>
    <w:rsid w:val="00A36875"/>
    <w:rsid w:val="00A37B0F"/>
    <w:rsid w:val="00A37CCE"/>
    <w:rsid w:val="00A41896"/>
    <w:rsid w:val="00A43148"/>
    <w:rsid w:val="00A557AD"/>
    <w:rsid w:val="00A55805"/>
    <w:rsid w:val="00A674A6"/>
    <w:rsid w:val="00A710B5"/>
    <w:rsid w:val="00A72777"/>
    <w:rsid w:val="00A73B44"/>
    <w:rsid w:val="00A93E36"/>
    <w:rsid w:val="00A94A3B"/>
    <w:rsid w:val="00AA1B10"/>
    <w:rsid w:val="00AA69AF"/>
    <w:rsid w:val="00AA7550"/>
    <w:rsid w:val="00AB6987"/>
    <w:rsid w:val="00AC1C46"/>
    <w:rsid w:val="00AC4834"/>
    <w:rsid w:val="00AC51C0"/>
    <w:rsid w:val="00AC6434"/>
    <w:rsid w:val="00AE31D3"/>
    <w:rsid w:val="00AF0D20"/>
    <w:rsid w:val="00AF6218"/>
    <w:rsid w:val="00B01693"/>
    <w:rsid w:val="00B02249"/>
    <w:rsid w:val="00B0275C"/>
    <w:rsid w:val="00B05121"/>
    <w:rsid w:val="00B0536D"/>
    <w:rsid w:val="00B065EE"/>
    <w:rsid w:val="00B11428"/>
    <w:rsid w:val="00B11490"/>
    <w:rsid w:val="00B14EA3"/>
    <w:rsid w:val="00B20F3F"/>
    <w:rsid w:val="00B21941"/>
    <w:rsid w:val="00B24925"/>
    <w:rsid w:val="00B25D20"/>
    <w:rsid w:val="00B26B02"/>
    <w:rsid w:val="00B37C52"/>
    <w:rsid w:val="00B4018B"/>
    <w:rsid w:val="00B5123F"/>
    <w:rsid w:val="00B53BC4"/>
    <w:rsid w:val="00B54D78"/>
    <w:rsid w:val="00B56386"/>
    <w:rsid w:val="00B56A57"/>
    <w:rsid w:val="00B641C2"/>
    <w:rsid w:val="00B65D46"/>
    <w:rsid w:val="00B6638B"/>
    <w:rsid w:val="00B71387"/>
    <w:rsid w:val="00B72D32"/>
    <w:rsid w:val="00B738F7"/>
    <w:rsid w:val="00B74607"/>
    <w:rsid w:val="00B84814"/>
    <w:rsid w:val="00B854BD"/>
    <w:rsid w:val="00B92339"/>
    <w:rsid w:val="00B92FCF"/>
    <w:rsid w:val="00B9554E"/>
    <w:rsid w:val="00BA4EAA"/>
    <w:rsid w:val="00BB22DB"/>
    <w:rsid w:val="00BB31F7"/>
    <w:rsid w:val="00BB3628"/>
    <w:rsid w:val="00BB6010"/>
    <w:rsid w:val="00BC0353"/>
    <w:rsid w:val="00BC5761"/>
    <w:rsid w:val="00BD34E0"/>
    <w:rsid w:val="00BD6165"/>
    <w:rsid w:val="00BD6781"/>
    <w:rsid w:val="00BE7357"/>
    <w:rsid w:val="00BF373B"/>
    <w:rsid w:val="00BF4080"/>
    <w:rsid w:val="00BF598B"/>
    <w:rsid w:val="00C01294"/>
    <w:rsid w:val="00C030EA"/>
    <w:rsid w:val="00C112BC"/>
    <w:rsid w:val="00C13C1C"/>
    <w:rsid w:val="00C16E76"/>
    <w:rsid w:val="00C179C8"/>
    <w:rsid w:val="00C226D5"/>
    <w:rsid w:val="00C26814"/>
    <w:rsid w:val="00C26B40"/>
    <w:rsid w:val="00C414B6"/>
    <w:rsid w:val="00C435BE"/>
    <w:rsid w:val="00C443E5"/>
    <w:rsid w:val="00C46E34"/>
    <w:rsid w:val="00C56CD9"/>
    <w:rsid w:val="00C6405E"/>
    <w:rsid w:val="00C70CD6"/>
    <w:rsid w:val="00C7667C"/>
    <w:rsid w:val="00C809FB"/>
    <w:rsid w:val="00C90F8A"/>
    <w:rsid w:val="00C94A10"/>
    <w:rsid w:val="00C9684A"/>
    <w:rsid w:val="00C977E0"/>
    <w:rsid w:val="00CA0D9B"/>
    <w:rsid w:val="00CA17D9"/>
    <w:rsid w:val="00CA1E39"/>
    <w:rsid w:val="00CA22E7"/>
    <w:rsid w:val="00CA2767"/>
    <w:rsid w:val="00CA313E"/>
    <w:rsid w:val="00CA365A"/>
    <w:rsid w:val="00CA4EDB"/>
    <w:rsid w:val="00CA71A4"/>
    <w:rsid w:val="00CB03D4"/>
    <w:rsid w:val="00CB08AF"/>
    <w:rsid w:val="00CB21AB"/>
    <w:rsid w:val="00CB58A0"/>
    <w:rsid w:val="00CB7520"/>
    <w:rsid w:val="00CD1E35"/>
    <w:rsid w:val="00CD3237"/>
    <w:rsid w:val="00CD5C71"/>
    <w:rsid w:val="00CD6A95"/>
    <w:rsid w:val="00CD71A1"/>
    <w:rsid w:val="00CE1183"/>
    <w:rsid w:val="00CE219D"/>
    <w:rsid w:val="00CE5BB1"/>
    <w:rsid w:val="00CE7160"/>
    <w:rsid w:val="00CF09D3"/>
    <w:rsid w:val="00CF72C5"/>
    <w:rsid w:val="00D008F5"/>
    <w:rsid w:val="00D01787"/>
    <w:rsid w:val="00D06EB8"/>
    <w:rsid w:val="00D07312"/>
    <w:rsid w:val="00D1047D"/>
    <w:rsid w:val="00D12BB3"/>
    <w:rsid w:val="00D20424"/>
    <w:rsid w:val="00D27C59"/>
    <w:rsid w:val="00D3072C"/>
    <w:rsid w:val="00D31149"/>
    <w:rsid w:val="00D31495"/>
    <w:rsid w:val="00D40105"/>
    <w:rsid w:val="00D43BA6"/>
    <w:rsid w:val="00D47CCC"/>
    <w:rsid w:val="00D56741"/>
    <w:rsid w:val="00D63748"/>
    <w:rsid w:val="00D70E4D"/>
    <w:rsid w:val="00D71D74"/>
    <w:rsid w:val="00D93ACD"/>
    <w:rsid w:val="00D94A59"/>
    <w:rsid w:val="00D96603"/>
    <w:rsid w:val="00DA0753"/>
    <w:rsid w:val="00DA4489"/>
    <w:rsid w:val="00DB155B"/>
    <w:rsid w:val="00DB4AAE"/>
    <w:rsid w:val="00DB6B33"/>
    <w:rsid w:val="00DC0D94"/>
    <w:rsid w:val="00DC1EBD"/>
    <w:rsid w:val="00DC3EF4"/>
    <w:rsid w:val="00DC3FAA"/>
    <w:rsid w:val="00DC4427"/>
    <w:rsid w:val="00DD15FC"/>
    <w:rsid w:val="00DD2BA2"/>
    <w:rsid w:val="00DD4399"/>
    <w:rsid w:val="00DD52F6"/>
    <w:rsid w:val="00DD75D9"/>
    <w:rsid w:val="00DE74C1"/>
    <w:rsid w:val="00DF4986"/>
    <w:rsid w:val="00DF4BD4"/>
    <w:rsid w:val="00DF4FF6"/>
    <w:rsid w:val="00DF7334"/>
    <w:rsid w:val="00E04CF4"/>
    <w:rsid w:val="00E10161"/>
    <w:rsid w:val="00E22C04"/>
    <w:rsid w:val="00E26758"/>
    <w:rsid w:val="00E27B43"/>
    <w:rsid w:val="00E377A4"/>
    <w:rsid w:val="00E37807"/>
    <w:rsid w:val="00E529E6"/>
    <w:rsid w:val="00E717E4"/>
    <w:rsid w:val="00E7292D"/>
    <w:rsid w:val="00E72948"/>
    <w:rsid w:val="00E745E0"/>
    <w:rsid w:val="00E751E8"/>
    <w:rsid w:val="00E7725E"/>
    <w:rsid w:val="00E80C93"/>
    <w:rsid w:val="00E85221"/>
    <w:rsid w:val="00E87190"/>
    <w:rsid w:val="00E915E7"/>
    <w:rsid w:val="00E9368C"/>
    <w:rsid w:val="00E97373"/>
    <w:rsid w:val="00EA2B25"/>
    <w:rsid w:val="00EB324F"/>
    <w:rsid w:val="00EB3A11"/>
    <w:rsid w:val="00EB5F2F"/>
    <w:rsid w:val="00EC274A"/>
    <w:rsid w:val="00ED2329"/>
    <w:rsid w:val="00ED260B"/>
    <w:rsid w:val="00ED58FF"/>
    <w:rsid w:val="00ED6216"/>
    <w:rsid w:val="00ED66CE"/>
    <w:rsid w:val="00EE41EB"/>
    <w:rsid w:val="00EE4B18"/>
    <w:rsid w:val="00EF2776"/>
    <w:rsid w:val="00EF5AF9"/>
    <w:rsid w:val="00F0127E"/>
    <w:rsid w:val="00F01D90"/>
    <w:rsid w:val="00F029AD"/>
    <w:rsid w:val="00F05F30"/>
    <w:rsid w:val="00F25833"/>
    <w:rsid w:val="00F26C4F"/>
    <w:rsid w:val="00F30305"/>
    <w:rsid w:val="00F32E01"/>
    <w:rsid w:val="00F33DC5"/>
    <w:rsid w:val="00F33EB9"/>
    <w:rsid w:val="00F36E3F"/>
    <w:rsid w:val="00F36FEB"/>
    <w:rsid w:val="00F52A7B"/>
    <w:rsid w:val="00F54AD1"/>
    <w:rsid w:val="00F63617"/>
    <w:rsid w:val="00F63C2B"/>
    <w:rsid w:val="00F63EDF"/>
    <w:rsid w:val="00F649E6"/>
    <w:rsid w:val="00F706CF"/>
    <w:rsid w:val="00F72D18"/>
    <w:rsid w:val="00F738EE"/>
    <w:rsid w:val="00F7598B"/>
    <w:rsid w:val="00F8075F"/>
    <w:rsid w:val="00F81973"/>
    <w:rsid w:val="00F849A8"/>
    <w:rsid w:val="00F93EE5"/>
    <w:rsid w:val="00F95EAA"/>
    <w:rsid w:val="00F96217"/>
    <w:rsid w:val="00FB1F37"/>
    <w:rsid w:val="00FB3F97"/>
    <w:rsid w:val="00FB4876"/>
    <w:rsid w:val="00FC0C9C"/>
    <w:rsid w:val="00FC1304"/>
    <w:rsid w:val="00FC629F"/>
    <w:rsid w:val="00FE24DA"/>
    <w:rsid w:val="00FE28EA"/>
    <w:rsid w:val="00FE2E3D"/>
    <w:rsid w:val="00FE57C3"/>
    <w:rsid w:val="00FE5C98"/>
    <w:rsid w:val="00FF4E11"/>
    <w:rsid w:val="00FF5A09"/>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F44"/>
  <w15:chartTrackingRefBased/>
  <w15:docId w15:val="{012F075D-765B-41DD-A4B5-7EB1911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A5"/>
    <w:pPr>
      <w:ind w:left="720"/>
      <w:contextualSpacing/>
    </w:pPr>
  </w:style>
  <w:style w:type="character" w:styleId="Hyperlink">
    <w:name w:val="Hyperlink"/>
    <w:basedOn w:val="DefaultParagraphFont"/>
    <w:uiPriority w:val="99"/>
    <w:unhideWhenUsed/>
    <w:rsid w:val="0075543C"/>
    <w:rPr>
      <w:color w:val="0000FF" w:themeColor="hyperlink"/>
      <w:u w:val="single"/>
    </w:rPr>
  </w:style>
  <w:style w:type="paragraph" w:styleId="BalloonText">
    <w:name w:val="Balloon Text"/>
    <w:basedOn w:val="Normal"/>
    <w:link w:val="BalloonTextChar"/>
    <w:uiPriority w:val="99"/>
    <w:semiHidden/>
    <w:unhideWhenUsed/>
    <w:rsid w:val="00DF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D4"/>
    <w:rPr>
      <w:rFonts w:ascii="Segoe UI" w:hAnsi="Segoe UI" w:cs="Segoe UI"/>
      <w:sz w:val="18"/>
      <w:szCs w:val="18"/>
    </w:rPr>
  </w:style>
  <w:style w:type="character" w:styleId="CommentReference">
    <w:name w:val="annotation reference"/>
    <w:basedOn w:val="DefaultParagraphFont"/>
    <w:uiPriority w:val="99"/>
    <w:semiHidden/>
    <w:unhideWhenUsed/>
    <w:rsid w:val="00C13C1C"/>
    <w:rPr>
      <w:sz w:val="16"/>
      <w:szCs w:val="16"/>
    </w:rPr>
  </w:style>
  <w:style w:type="paragraph" w:styleId="CommentText">
    <w:name w:val="annotation text"/>
    <w:basedOn w:val="Normal"/>
    <w:link w:val="CommentTextChar"/>
    <w:uiPriority w:val="99"/>
    <w:unhideWhenUsed/>
    <w:rsid w:val="00C13C1C"/>
    <w:pPr>
      <w:spacing w:line="240" w:lineRule="auto"/>
    </w:pPr>
    <w:rPr>
      <w:sz w:val="20"/>
      <w:szCs w:val="20"/>
    </w:rPr>
  </w:style>
  <w:style w:type="character" w:customStyle="1" w:styleId="CommentTextChar">
    <w:name w:val="Comment Text Char"/>
    <w:basedOn w:val="DefaultParagraphFont"/>
    <w:link w:val="CommentText"/>
    <w:uiPriority w:val="99"/>
    <w:rsid w:val="00C13C1C"/>
    <w:rPr>
      <w:sz w:val="20"/>
      <w:szCs w:val="20"/>
    </w:rPr>
  </w:style>
  <w:style w:type="paragraph" w:styleId="CommentSubject">
    <w:name w:val="annotation subject"/>
    <w:basedOn w:val="CommentText"/>
    <w:next w:val="CommentText"/>
    <w:link w:val="CommentSubjectChar"/>
    <w:uiPriority w:val="99"/>
    <w:semiHidden/>
    <w:unhideWhenUsed/>
    <w:rsid w:val="00C13C1C"/>
    <w:rPr>
      <w:b/>
      <w:bCs/>
    </w:rPr>
  </w:style>
  <w:style w:type="character" w:customStyle="1" w:styleId="CommentSubjectChar">
    <w:name w:val="Comment Subject Char"/>
    <w:basedOn w:val="CommentTextChar"/>
    <w:link w:val="CommentSubject"/>
    <w:uiPriority w:val="99"/>
    <w:semiHidden/>
    <w:rsid w:val="00C13C1C"/>
    <w:rPr>
      <w:b/>
      <w:bCs/>
      <w:sz w:val="20"/>
      <w:szCs w:val="20"/>
    </w:rPr>
  </w:style>
  <w:style w:type="paragraph" w:styleId="Header">
    <w:name w:val="header"/>
    <w:basedOn w:val="Normal"/>
    <w:link w:val="HeaderChar"/>
    <w:uiPriority w:val="99"/>
    <w:unhideWhenUsed/>
    <w:rsid w:val="00EE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18"/>
  </w:style>
  <w:style w:type="paragraph" w:styleId="Footer">
    <w:name w:val="footer"/>
    <w:basedOn w:val="Normal"/>
    <w:link w:val="FooterChar"/>
    <w:uiPriority w:val="99"/>
    <w:unhideWhenUsed/>
    <w:rsid w:val="00EE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18"/>
  </w:style>
  <w:style w:type="table" w:styleId="TableGrid">
    <w:name w:val="Table Grid"/>
    <w:basedOn w:val="TableNormal"/>
    <w:uiPriority w:val="39"/>
    <w:rsid w:val="0014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insford@scconsume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jamin.konop@cfpb.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A77B04D7F8B44956AD586C4D74D6D" ma:contentTypeVersion="6" ma:contentTypeDescription="Create a new document." ma:contentTypeScope="" ma:versionID="7e3a13a393d8ebdb4511081ef730230e">
  <xsd:schema xmlns:xsd="http://www.w3.org/2001/XMLSchema" xmlns:xs="http://www.w3.org/2001/XMLSchema" xmlns:p="http://schemas.microsoft.com/office/2006/metadata/properties" xmlns:ns3="5e235464-3eab-4882-a6fa-f70788ea5378" targetNamespace="http://schemas.microsoft.com/office/2006/metadata/properties" ma:root="true" ma:fieldsID="8797985451193acdfb882e48cc51e29f" ns3:_="">
    <xsd:import namespace="5e235464-3eab-4882-a6fa-f70788ea53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5464-3eab-4882-a6fa-f70788ea5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EA0B-D306-4DB6-85AC-FCE180FB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5464-3eab-4882-a6fa-f70788e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01E10-5DDD-4A4B-9B68-925C7E8473C5}">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e235464-3eab-4882-a6fa-f70788ea5378"/>
    <ds:schemaRef ds:uri="http://schemas.microsoft.com/office/2006/metadata/properties"/>
  </ds:schemaRefs>
</ds:datastoreItem>
</file>

<file path=customXml/itemProps3.xml><?xml version="1.0" encoding="utf-8"?>
<ds:datastoreItem xmlns:ds="http://schemas.openxmlformats.org/officeDocument/2006/customXml" ds:itemID="{0BD31D72-23B3-4A9A-8B2E-EB7E5F8A4194}">
  <ds:schemaRefs>
    <ds:schemaRef ds:uri="http://schemas.microsoft.com/sharepoint/v3/contenttype/forms"/>
  </ds:schemaRefs>
</ds:datastoreItem>
</file>

<file path=customXml/itemProps4.xml><?xml version="1.0" encoding="utf-8"?>
<ds:datastoreItem xmlns:ds="http://schemas.openxmlformats.org/officeDocument/2006/customXml" ds:itemID="{7D4FEB7F-90D7-4254-8277-06002844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4550</Words>
  <Characters>25936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Ardike, Maria (CFPB)</dc:creator>
  <cp:keywords/>
  <dc:description/>
  <cp:lastModifiedBy>Rebecca Jeffrey</cp:lastModifiedBy>
  <cp:revision>2</cp:revision>
  <dcterms:created xsi:type="dcterms:W3CDTF">2020-02-20T16:52:00Z</dcterms:created>
  <dcterms:modified xsi:type="dcterms:W3CDTF">2020-02-20T16:52:00Z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0x01010024EA77B04D7F8B44956AD586C4D74D6D</vt:lpwstr>
  </property>
</Properties>
</file>